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64B1B" w:rsidRDefault="00C64B1B" w:rsidP="00C64B1B">
      <w:pPr>
        <w:jc w:val="center"/>
      </w:pPr>
    </w:p>
    <w:tbl>
      <w:tblPr>
        <w:tblW w:w="15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1134"/>
        <w:gridCol w:w="1843"/>
        <w:gridCol w:w="7938"/>
        <w:gridCol w:w="2552"/>
        <w:gridCol w:w="1359"/>
      </w:tblGrid>
      <w:tr w:rsidR="00A06425" w:rsidRPr="00A06425" w:rsidTr="00A06425">
        <w:tc>
          <w:tcPr>
            <w:tcW w:w="15388" w:type="dxa"/>
            <w:gridSpan w:val="6"/>
            <w:shd w:val="clear" w:color="auto" w:fill="auto"/>
            <w:vAlign w:val="center"/>
          </w:tcPr>
          <w:p w:rsidR="00A06425" w:rsidRPr="00B73529" w:rsidRDefault="00A06425" w:rsidP="00B871B6">
            <w:pPr>
              <w:spacing w:before="120" w:after="120"/>
            </w:pPr>
            <w:r w:rsidRPr="00A06425">
              <w:rPr>
                <w:rFonts w:asciiTheme="minorHAnsi" w:hAnsiTheme="minorHAnsi" w:cstheme="minorHAnsi"/>
                <w:b/>
                <w:i/>
                <w:sz w:val="22"/>
                <w:szCs w:val="22"/>
              </w:rPr>
              <w:t>Nazwa dokumentu:</w:t>
            </w:r>
            <w:r w:rsidR="009A2585">
              <w:t xml:space="preserve"> </w:t>
            </w:r>
            <w:r w:rsidR="009F4A0B">
              <w:rPr>
                <w:b/>
              </w:rPr>
              <w:t>U</w:t>
            </w:r>
            <w:r w:rsidR="009A2585" w:rsidRPr="009A2585">
              <w:rPr>
                <w:b/>
              </w:rPr>
              <w:t>stawa o zmianie niektórych ustaw w związku z rozwojem e-administracji</w:t>
            </w:r>
            <w:r w:rsidR="00E804FA">
              <w:rPr>
                <w:b/>
              </w:rPr>
              <w:t xml:space="preserve"> (UD372)</w:t>
            </w:r>
          </w:p>
          <w:p w:rsidR="00A06425" w:rsidRPr="00A06425" w:rsidRDefault="00A06425" w:rsidP="00B871B6">
            <w:pPr>
              <w:spacing w:before="120" w:after="120"/>
              <w:rPr>
                <w:rFonts w:asciiTheme="minorHAnsi" w:hAnsiTheme="minorHAnsi" w:cstheme="minorHAnsi"/>
                <w:b/>
                <w:i/>
                <w:sz w:val="22"/>
                <w:szCs w:val="22"/>
              </w:rPr>
            </w:pPr>
          </w:p>
        </w:tc>
      </w:tr>
      <w:tr w:rsidR="00A06425" w:rsidRPr="00A06425" w:rsidTr="006976D6">
        <w:tc>
          <w:tcPr>
            <w:tcW w:w="56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Pr>
                <w:rFonts w:asciiTheme="minorHAnsi" w:hAnsiTheme="minorHAnsi" w:cstheme="minorHAnsi"/>
                <w:b/>
                <w:sz w:val="22"/>
                <w:szCs w:val="22"/>
              </w:rPr>
              <w:t>L</w:t>
            </w:r>
            <w:r w:rsidRPr="00A06425">
              <w:rPr>
                <w:rFonts w:asciiTheme="minorHAnsi" w:hAnsiTheme="minorHAnsi" w:cstheme="minorHAnsi"/>
                <w:b/>
                <w:sz w:val="22"/>
                <w:szCs w:val="22"/>
              </w:rPr>
              <w:t>p.</w:t>
            </w:r>
          </w:p>
        </w:tc>
        <w:tc>
          <w:tcPr>
            <w:tcW w:w="1134"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Organ wnoszący uwagi</w:t>
            </w:r>
          </w:p>
        </w:tc>
        <w:tc>
          <w:tcPr>
            <w:tcW w:w="1843"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Jednostka redakcyjna, do której wnoszone są uwagi</w:t>
            </w:r>
          </w:p>
        </w:tc>
        <w:tc>
          <w:tcPr>
            <w:tcW w:w="7938"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Treść uwagi</w:t>
            </w:r>
          </w:p>
        </w:tc>
        <w:tc>
          <w:tcPr>
            <w:tcW w:w="2552" w:type="dxa"/>
            <w:shd w:val="clear" w:color="auto" w:fill="auto"/>
            <w:vAlign w:val="center"/>
          </w:tcPr>
          <w:p w:rsidR="00A06425" w:rsidRPr="00A06425" w:rsidRDefault="00A06425" w:rsidP="004D086F">
            <w:pPr>
              <w:jc w:val="center"/>
              <w:rPr>
                <w:rFonts w:asciiTheme="minorHAnsi" w:hAnsiTheme="minorHAnsi" w:cstheme="minorHAnsi"/>
                <w:b/>
                <w:sz w:val="22"/>
                <w:szCs w:val="22"/>
              </w:rPr>
            </w:pPr>
            <w:r w:rsidRPr="00A06425">
              <w:rPr>
                <w:rFonts w:asciiTheme="minorHAnsi" w:hAnsiTheme="minorHAnsi" w:cstheme="minorHAnsi"/>
                <w:b/>
                <w:sz w:val="22"/>
                <w:szCs w:val="22"/>
              </w:rPr>
              <w:t>Propozycja zmian zapisu</w:t>
            </w:r>
          </w:p>
        </w:tc>
        <w:tc>
          <w:tcPr>
            <w:tcW w:w="1359" w:type="dxa"/>
            <w:vAlign w:val="center"/>
          </w:tcPr>
          <w:p w:rsidR="00A06425" w:rsidRPr="00A06425" w:rsidRDefault="00A06425" w:rsidP="00A06425">
            <w:pPr>
              <w:jc w:val="center"/>
              <w:rPr>
                <w:rFonts w:asciiTheme="minorHAnsi" w:hAnsiTheme="minorHAnsi" w:cstheme="minorHAnsi"/>
                <w:b/>
                <w:sz w:val="22"/>
                <w:szCs w:val="22"/>
              </w:rPr>
            </w:pPr>
            <w:r w:rsidRPr="00A06425">
              <w:rPr>
                <w:rFonts w:asciiTheme="minorHAnsi" w:hAnsiTheme="minorHAnsi" w:cstheme="minorHAnsi"/>
                <w:b/>
                <w:sz w:val="22"/>
                <w:szCs w:val="22"/>
              </w:rPr>
              <w:t>Odniesienie do uwagi</w:t>
            </w:r>
          </w:p>
        </w:tc>
      </w:tr>
      <w:tr w:rsidR="002C2BDE" w:rsidRPr="00A06425" w:rsidTr="006976D6">
        <w:tc>
          <w:tcPr>
            <w:tcW w:w="562" w:type="dxa"/>
            <w:vMerge w:val="restart"/>
            <w:shd w:val="clear" w:color="auto" w:fill="auto"/>
          </w:tcPr>
          <w:p w:rsidR="002C2BDE" w:rsidRPr="00A06425" w:rsidRDefault="002C2BDE" w:rsidP="00A06425">
            <w:pPr>
              <w:spacing w:before="120" w:after="120"/>
              <w:jc w:val="center"/>
              <w:rPr>
                <w:rFonts w:asciiTheme="minorHAnsi" w:hAnsiTheme="minorHAnsi" w:cstheme="minorHAnsi"/>
                <w:b/>
                <w:sz w:val="22"/>
                <w:szCs w:val="22"/>
              </w:rPr>
            </w:pPr>
            <w:r w:rsidRPr="00A06425">
              <w:rPr>
                <w:rFonts w:asciiTheme="minorHAnsi" w:hAnsiTheme="minorHAnsi" w:cstheme="minorHAnsi"/>
                <w:b/>
                <w:sz w:val="22"/>
                <w:szCs w:val="22"/>
              </w:rPr>
              <w:t>1</w:t>
            </w:r>
          </w:p>
        </w:tc>
        <w:tc>
          <w:tcPr>
            <w:tcW w:w="1134" w:type="dxa"/>
            <w:vMerge w:val="restart"/>
            <w:shd w:val="clear" w:color="auto" w:fill="auto"/>
          </w:tcPr>
          <w:p w:rsidR="002C2BDE" w:rsidRPr="00A06425" w:rsidRDefault="002C2BDE" w:rsidP="004D086F">
            <w:pPr>
              <w:spacing w:before="60" w:after="60"/>
              <w:jc w:val="center"/>
              <w:rPr>
                <w:rFonts w:asciiTheme="minorHAnsi" w:hAnsiTheme="minorHAnsi" w:cstheme="minorHAnsi"/>
                <w:b/>
                <w:sz w:val="22"/>
                <w:szCs w:val="22"/>
              </w:rPr>
            </w:pPr>
            <w:r>
              <w:rPr>
                <w:rFonts w:asciiTheme="minorHAnsi" w:hAnsiTheme="minorHAnsi" w:cstheme="minorHAnsi"/>
                <w:b/>
                <w:sz w:val="22"/>
                <w:szCs w:val="22"/>
              </w:rPr>
              <w:t>RCL</w:t>
            </w:r>
          </w:p>
        </w:tc>
        <w:tc>
          <w:tcPr>
            <w:tcW w:w="1843" w:type="dxa"/>
            <w:vMerge w:val="restart"/>
            <w:shd w:val="clear" w:color="auto" w:fill="auto"/>
          </w:tcPr>
          <w:p w:rsidR="002C2BDE" w:rsidRPr="00A06425" w:rsidRDefault="002C2BDE" w:rsidP="004D086F">
            <w:pPr>
              <w:jc w:val="center"/>
              <w:rPr>
                <w:rFonts w:asciiTheme="minorHAnsi" w:hAnsiTheme="minorHAnsi" w:cstheme="minorHAnsi"/>
                <w:sz w:val="22"/>
                <w:szCs w:val="22"/>
              </w:rPr>
            </w:pPr>
            <w:r>
              <w:rPr>
                <w:rFonts w:asciiTheme="minorHAnsi" w:hAnsiTheme="minorHAnsi" w:cstheme="minorHAnsi"/>
                <w:sz w:val="22"/>
                <w:szCs w:val="22"/>
              </w:rPr>
              <w:t xml:space="preserve">Art. </w:t>
            </w:r>
            <w:proofErr w:type="gramStart"/>
            <w:r>
              <w:rPr>
                <w:rFonts w:asciiTheme="minorHAnsi" w:hAnsiTheme="minorHAnsi" w:cstheme="minorHAnsi"/>
                <w:sz w:val="22"/>
                <w:szCs w:val="22"/>
              </w:rPr>
              <w:t>1  pkt</w:t>
            </w:r>
            <w:proofErr w:type="gramEnd"/>
            <w:r>
              <w:rPr>
                <w:rFonts w:asciiTheme="minorHAnsi" w:hAnsiTheme="minorHAnsi" w:cstheme="minorHAnsi"/>
                <w:sz w:val="22"/>
                <w:szCs w:val="22"/>
              </w:rPr>
              <w:t xml:space="preserve"> 2 i 3</w:t>
            </w:r>
          </w:p>
        </w:tc>
        <w:tc>
          <w:tcPr>
            <w:tcW w:w="7938" w:type="dxa"/>
            <w:vMerge w:val="restart"/>
            <w:shd w:val="clear" w:color="auto" w:fill="auto"/>
          </w:tcPr>
          <w:p w:rsidR="002C2BDE" w:rsidRPr="008D65BF" w:rsidRDefault="002C2BDE" w:rsidP="00724D10">
            <w:pPr>
              <w:jc w:val="both"/>
              <w:rPr>
                <w:rFonts w:asciiTheme="minorHAnsi" w:hAnsiTheme="minorHAnsi" w:cstheme="minorHAnsi"/>
                <w:color w:val="FF0000"/>
                <w:sz w:val="22"/>
                <w:szCs w:val="22"/>
              </w:rPr>
            </w:pPr>
            <w:r>
              <w:rPr>
                <w:rFonts w:asciiTheme="minorHAnsi" w:hAnsiTheme="minorHAnsi" w:cstheme="minorHAnsi"/>
                <w:sz w:val="22"/>
                <w:szCs w:val="22"/>
              </w:rPr>
              <w:t xml:space="preserve">1) </w:t>
            </w:r>
            <w:r w:rsidRPr="008D65BF">
              <w:rPr>
                <w:rFonts w:asciiTheme="minorHAnsi" w:hAnsiTheme="minorHAnsi" w:cstheme="minorHAnsi"/>
                <w:color w:val="FF0000"/>
                <w:sz w:val="22"/>
                <w:szCs w:val="22"/>
              </w:rPr>
              <w:t xml:space="preserve">przedmiotowa zmiana art. 39 § 1 ustawy z dnia 14 czerwca 1960 r. – Kodeks postępowania administracyjnego </w:t>
            </w:r>
            <w:r w:rsidR="009F4A0B" w:rsidRPr="008D65BF">
              <w:rPr>
                <w:rFonts w:asciiTheme="minorHAnsi" w:hAnsiTheme="minorHAnsi" w:cstheme="minorHAnsi"/>
                <w:color w:val="FF0000"/>
                <w:sz w:val="22"/>
                <w:szCs w:val="22"/>
              </w:rPr>
              <w:t>(Kpa)</w:t>
            </w:r>
            <w:r w:rsidR="008D65BF" w:rsidRPr="008D65BF">
              <w:rPr>
                <w:rFonts w:asciiTheme="minorHAnsi" w:hAnsiTheme="minorHAnsi" w:cstheme="minorHAnsi"/>
                <w:color w:val="FF0000"/>
                <w:sz w:val="22"/>
                <w:szCs w:val="22"/>
              </w:rPr>
              <w:t xml:space="preserve"> </w:t>
            </w:r>
            <w:r w:rsidRPr="008D65BF">
              <w:rPr>
                <w:rFonts w:asciiTheme="minorHAnsi" w:hAnsiTheme="minorHAnsi" w:cstheme="minorHAnsi"/>
                <w:color w:val="FF0000"/>
                <w:sz w:val="22"/>
                <w:szCs w:val="22"/>
              </w:rPr>
              <w:t xml:space="preserve">wprowadza </w:t>
            </w:r>
            <w:r w:rsidR="008D65BF" w:rsidRPr="008D65BF">
              <w:rPr>
                <w:rFonts w:asciiTheme="minorHAnsi" w:hAnsiTheme="minorHAnsi" w:cstheme="minorHAnsi"/>
                <w:color w:val="FF0000"/>
                <w:sz w:val="22"/>
                <w:szCs w:val="22"/>
              </w:rPr>
              <w:t>jako</w:t>
            </w:r>
            <w:r w:rsidRPr="008D65BF">
              <w:rPr>
                <w:rFonts w:asciiTheme="minorHAnsi" w:hAnsiTheme="minorHAnsi" w:cstheme="minorHAnsi"/>
                <w:color w:val="FF0000"/>
                <w:sz w:val="22"/>
                <w:szCs w:val="22"/>
              </w:rPr>
              <w:t xml:space="preserve"> możliwość doręczenia, w miejsce doręczenia „</w:t>
            </w:r>
            <w:r w:rsidRPr="008D65BF">
              <w:rPr>
                <w:rFonts w:asciiTheme="minorHAnsi" w:hAnsiTheme="minorHAnsi" w:cstheme="minorHAnsi"/>
                <w:i/>
                <w:color w:val="FF0000"/>
                <w:sz w:val="22"/>
                <w:szCs w:val="22"/>
              </w:rPr>
              <w:t>na konto w systemie teleinformatycznym organu</w:t>
            </w:r>
            <w:r w:rsidRPr="008D65BF">
              <w:rPr>
                <w:rFonts w:asciiTheme="minorHAnsi" w:hAnsiTheme="minorHAnsi" w:cstheme="minorHAnsi"/>
                <w:color w:val="FF0000"/>
                <w:sz w:val="22"/>
                <w:szCs w:val="22"/>
              </w:rPr>
              <w:t>”, doręczenia „</w:t>
            </w:r>
            <w:r w:rsidRPr="008D65BF">
              <w:rPr>
                <w:rFonts w:asciiTheme="minorHAnsi" w:hAnsiTheme="minorHAnsi" w:cstheme="minorHAnsi"/>
                <w:i/>
                <w:color w:val="FF0000"/>
                <w:sz w:val="22"/>
                <w:szCs w:val="22"/>
                <w:u w:val="single"/>
              </w:rPr>
              <w:t>z wykorzystaniem innych niż adres do doręczeń elektronicznych rozwiązań techniczno-organizacyjnych, jeżeli przepisy odrębne przewidują wnoszenie lub doręczanie korespondencji z ich wykorzystaniem</w:t>
            </w:r>
            <w:r w:rsidRPr="008D65BF">
              <w:rPr>
                <w:rFonts w:asciiTheme="minorHAnsi" w:hAnsiTheme="minorHAnsi" w:cstheme="minorHAnsi"/>
                <w:color w:val="FF0000"/>
                <w:sz w:val="22"/>
                <w:szCs w:val="22"/>
              </w:rPr>
              <w:t xml:space="preserve">”. </w:t>
            </w:r>
          </w:p>
          <w:p w:rsidR="002C2BDE" w:rsidRPr="008D65BF" w:rsidRDefault="002C2BDE" w:rsidP="00724D10">
            <w:pPr>
              <w:jc w:val="both"/>
              <w:rPr>
                <w:rFonts w:asciiTheme="minorHAnsi" w:hAnsiTheme="minorHAnsi" w:cstheme="minorHAnsi"/>
                <w:color w:val="FF0000"/>
                <w:sz w:val="22"/>
                <w:szCs w:val="22"/>
              </w:rPr>
            </w:pPr>
            <w:r w:rsidRPr="008D65BF">
              <w:rPr>
                <w:rFonts w:asciiTheme="minorHAnsi" w:hAnsiTheme="minorHAnsi" w:cstheme="minorHAnsi"/>
                <w:color w:val="FF0000"/>
                <w:sz w:val="22"/>
                <w:szCs w:val="22"/>
              </w:rPr>
              <w:t>Mając na uwadze nieprecyzyjność ww. przepisu, zarówno przez odesłanie do przepisów odrębnych jak i do bliżej nieokreślonych „rozwiązań” koniecznym wydaje się ich doprecyzowanie, jeżeli jest to możliwe, przy jednoczesnym uzupełnieniu uzasadnienia projektu o wyjaśnienie potrzeby wprowadzenia zmiany w art. 39 Kpa;</w:t>
            </w:r>
          </w:p>
          <w:p w:rsidR="002C2BDE" w:rsidRDefault="002C2BDE" w:rsidP="00FA6B70">
            <w:pPr>
              <w:jc w:val="both"/>
              <w:rPr>
                <w:rFonts w:asciiTheme="minorHAnsi" w:hAnsiTheme="minorHAnsi" w:cstheme="minorHAnsi"/>
                <w:sz w:val="22"/>
                <w:szCs w:val="22"/>
              </w:rPr>
            </w:pPr>
            <w:r>
              <w:rPr>
                <w:rFonts w:asciiTheme="minorHAnsi" w:hAnsiTheme="minorHAnsi" w:cstheme="minorHAnsi"/>
                <w:sz w:val="22"/>
                <w:szCs w:val="22"/>
              </w:rPr>
              <w:t xml:space="preserve">2) mając na uwadze projektowaną zmianę w art. 39 § 1 Kpa, w przypadku art. 63 § 3a wyjaśnienia wymaga, czy wprowadzenia do wyliczenia nie należy także rozszerzyć na </w:t>
            </w:r>
            <w:r w:rsidRPr="00FA6B70">
              <w:rPr>
                <w:rFonts w:asciiTheme="minorHAnsi" w:hAnsiTheme="minorHAnsi" w:cstheme="minorHAnsi"/>
                <w:sz w:val="22"/>
                <w:szCs w:val="22"/>
              </w:rPr>
              <w:t>inn</w:t>
            </w:r>
            <w:r>
              <w:rPr>
                <w:rFonts w:asciiTheme="minorHAnsi" w:hAnsiTheme="minorHAnsi" w:cstheme="minorHAnsi"/>
                <w:sz w:val="22"/>
                <w:szCs w:val="22"/>
              </w:rPr>
              <w:t>e</w:t>
            </w:r>
            <w:r w:rsidRPr="00FA6B70">
              <w:rPr>
                <w:rFonts w:asciiTheme="minorHAnsi" w:hAnsiTheme="minorHAnsi" w:cstheme="minorHAnsi"/>
                <w:sz w:val="22"/>
                <w:szCs w:val="22"/>
              </w:rPr>
              <w:t xml:space="preserve"> niż adres do doręczeń elektronicznych rozwiąza</w:t>
            </w:r>
            <w:r>
              <w:rPr>
                <w:rFonts w:asciiTheme="minorHAnsi" w:hAnsiTheme="minorHAnsi" w:cstheme="minorHAnsi"/>
                <w:sz w:val="22"/>
                <w:szCs w:val="22"/>
              </w:rPr>
              <w:t>nia</w:t>
            </w:r>
            <w:r w:rsidRPr="00FA6B70">
              <w:rPr>
                <w:rFonts w:asciiTheme="minorHAnsi" w:hAnsiTheme="minorHAnsi" w:cstheme="minorHAnsi"/>
                <w:sz w:val="22"/>
                <w:szCs w:val="22"/>
              </w:rPr>
              <w:t xml:space="preserve"> techniczno-organizacyjn</w:t>
            </w:r>
            <w:r>
              <w:rPr>
                <w:rFonts w:asciiTheme="minorHAnsi" w:hAnsiTheme="minorHAnsi" w:cstheme="minorHAnsi"/>
                <w:sz w:val="22"/>
                <w:szCs w:val="22"/>
              </w:rPr>
              <w:t>e</w:t>
            </w:r>
            <w:r w:rsidRPr="00FA6B70">
              <w:rPr>
                <w:rFonts w:asciiTheme="minorHAnsi" w:hAnsiTheme="minorHAnsi" w:cstheme="minorHAnsi"/>
                <w:sz w:val="22"/>
                <w:szCs w:val="22"/>
              </w:rPr>
              <w:t>, jeżeli przepisy odrębne przewidują wnoszenie lub doręczanie korespondencji z ich wykorzystaniem</w:t>
            </w:r>
            <w:r>
              <w:rPr>
                <w:rFonts w:asciiTheme="minorHAnsi" w:hAnsiTheme="minorHAnsi" w:cstheme="minorHAnsi"/>
                <w:sz w:val="22"/>
                <w:szCs w:val="22"/>
              </w:rPr>
              <w:t>;</w:t>
            </w:r>
          </w:p>
          <w:p w:rsidR="002C2BDE" w:rsidRPr="00A06425" w:rsidRDefault="002C2BDE" w:rsidP="00FA6B70">
            <w:pPr>
              <w:jc w:val="both"/>
              <w:rPr>
                <w:rFonts w:asciiTheme="minorHAnsi" w:hAnsiTheme="minorHAnsi" w:cstheme="minorHAnsi"/>
                <w:sz w:val="22"/>
                <w:szCs w:val="22"/>
              </w:rPr>
            </w:pPr>
            <w:r>
              <w:rPr>
                <w:rFonts w:asciiTheme="minorHAnsi" w:hAnsiTheme="minorHAnsi" w:cstheme="minorHAnsi"/>
                <w:sz w:val="22"/>
                <w:szCs w:val="22"/>
              </w:rPr>
              <w:t xml:space="preserve">3) projektowany przepis </w:t>
            </w:r>
            <w:r w:rsidR="009F4A0B">
              <w:rPr>
                <w:rFonts w:asciiTheme="minorHAnsi" w:hAnsiTheme="minorHAnsi" w:cstheme="minorHAnsi"/>
                <w:sz w:val="22"/>
                <w:szCs w:val="22"/>
              </w:rPr>
              <w:t>art.</w:t>
            </w:r>
            <w:r>
              <w:rPr>
                <w:rFonts w:asciiTheme="minorHAnsi" w:hAnsiTheme="minorHAnsi" w:cstheme="minorHAnsi"/>
                <w:sz w:val="22"/>
                <w:szCs w:val="22"/>
              </w:rPr>
              <w:t xml:space="preserve"> 63 § 3a wymaga doprecyzowania – nie wiadomo bowiem, czy obecna część wspólna przepisu dotyczy pkt 1 i 2, czy tylko pkt 2.</w:t>
            </w:r>
          </w:p>
        </w:tc>
        <w:tc>
          <w:tcPr>
            <w:tcW w:w="2552" w:type="dxa"/>
            <w:shd w:val="clear" w:color="auto" w:fill="auto"/>
          </w:tcPr>
          <w:p w:rsidR="002C2BDE" w:rsidRPr="00A06425" w:rsidRDefault="002C2BDE" w:rsidP="004D086F">
            <w:pPr>
              <w:jc w:val="center"/>
              <w:rPr>
                <w:rFonts w:asciiTheme="minorHAnsi" w:hAnsiTheme="minorHAnsi" w:cstheme="minorHAnsi"/>
                <w:sz w:val="22"/>
                <w:szCs w:val="22"/>
              </w:rPr>
            </w:pPr>
          </w:p>
        </w:tc>
        <w:tc>
          <w:tcPr>
            <w:tcW w:w="1359" w:type="dxa"/>
          </w:tcPr>
          <w:p w:rsidR="002C2BDE" w:rsidRPr="00A06425" w:rsidRDefault="002C2BDE" w:rsidP="004D086F">
            <w:pPr>
              <w:jc w:val="center"/>
              <w:rPr>
                <w:rFonts w:asciiTheme="minorHAnsi" w:hAnsiTheme="minorHAnsi" w:cstheme="minorHAnsi"/>
                <w:sz w:val="22"/>
                <w:szCs w:val="22"/>
              </w:rPr>
            </w:pPr>
          </w:p>
        </w:tc>
      </w:tr>
      <w:tr w:rsidR="002C2BDE" w:rsidRPr="00A06425" w:rsidTr="000440DC">
        <w:trPr>
          <w:trHeight w:val="1434"/>
        </w:trPr>
        <w:tc>
          <w:tcPr>
            <w:tcW w:w="562" w:type="dxa"/>
            <w:vMerge/>
            <w:shd w:val="clear" w:color="auto" w:fill="auto"/>
          </w:tcPr>
          <w:p w:rsidR="002C2BDE" w:rsidRPr="00A06425" w:rsidRDefault="002C2BDE" w:rsidP="00A06425">
            <w:pPr>
              <w:spacing w:before="120" w:after="120"/>
              <w:jc w:val="center"/>
              <w:rPr>
                <w:rFonts w:asciiTheme="minorHAnsi" w:hAnsiTheme="minorHAnsi" w:cstheme="minorHAnsi"/>
                <w:b/>
                <w:sz w:val="22"/>
                <w:szCs w:val="22"/>
              </w:rPr>
            </w:pPr>
          </w:p>
        </w:tc>
        <w:tc>
          <w:tcPr>
            <w:tcW w:w="1134" w:type="dxa"/>
            <w:vMerge/>
            <w:shd w:val="clear" w:color="auto" w:fill="auto"/>
          </w:tcPr>
          <w:p w:rsidR="002C2BDE" w:rsidRPr="00A06425" w:rsidRDefault="002C2BDE" w:rsidP="004D086F">
            <w:pPr>
              <w:spacing w:before="60" w:after="60"/>
              <w:jc w:val="center"/>
              <w:rPr>
                <w:rFonts w:asciiTheme="minorHAnsi" w:hAnsiTheme="minorHAnsi" w:cstheme="minorHAnsi"/>
                <w:b/>
                <w:sz w:val="22"/>
                <w:szCs w:val="22"/>
              </w:rPr>
            </w:pPr>
          </w:p>
        </w:tc>
        <w:tc>
          <w:tcPr>
            <w:tcW w:w="1843" w:type="dxa"/>
            <w:vMerge/>
            <w:shd w:val="clear" w:color="auto" w:fill="auto"/>
          </w:tcPr>
          <w:p w:rsidR="002C2BDE" w:rsidRPr="00A06425" w:rsidRDefault="002C2BDE" w:rsidP="004D086F">
            <w:pPr>
              <w:jc w:val="center"/>
              <w:rPr>
                <w:rFonts w:asciiTheme="minorHAnsi" w:hAnsiTheme="minorHAnsi" w:cstheme="minorHAnsi"/>
                <w:sz w:val="22"/>
                <w:szCs w:val="22"/>
              </w:rPr>
            </w:pPr>
          </w:p>
        </w:tc>
        <w:tc>
          <w:tcPr>
            <w:tcW w:w="7938" w:type="dxa"/>
            <w:vMerge/>
            <w:shd w:val="clear" w:color="auto" w:fill="auto"/>
          </w:tcPr>
          <w:p w:rsidR="002C2BDE" w:rsidRPr="00A06425" w:rsidRDefault="002C2BDE" w:rsidP="00FA6B70">
            <w:pPr>
              <w:jc w:val="both"/>
              <w:rPr>
                <w:rFonts w:asciiTheme="minorHAnsi" w:hAnsiTheme="minorHAnsi" w:cstheme="minorHAnsi"/>
                <w:sz w:val="22"/>
                <w:szCs w:val="22"/>
              </w:rPr>
            </w:pPr>
          </w:p>
        </w:tc>
        <w:tc>
          <w:tcPr>
            <w:tcW w:w="2552" w:type="dxa"/>
            <w:shd w:val="clear" w:color="auto" w:fill="auto"/>
          </w:tcPr>
          <w:p w:rsidR="002C2BDE" w:rsidRPr="00A06425" w:rsidRDefault="002C2BDE" w:rsidP="004D086F">
            <w:pPr>
              <w:jc w:val="center"/>
              <w:rPr>
                <w:rFonts w:asciiTheme="minorHAnsi" w:hAnsiTheme="minorHAnsi" w:cstheme="minorHAnsi"/>
                <w:sz w:val="22"/>
                <w:szCs w:val="22"/>
              </w:rPr>
            </w:pPr>
          </w:p>
        </w:tc>
        <w:tc>
          <w:tcPr>
            <w:tcW w:w="1359" w:type="dxa"/>
          </w:tcPr>
          <w:p w:rsidR="002C2BDE" w:rsidRPr="00A06425" w:rsidRDefault="002C2BDE" w:rsidP="004D086F">
            <w:pPr>
              <w:jc w:val="center"/>
              <w:rPr>
                <w:rFonts w:asciiTheme="minorHAnsi" w:hAnsiTheme="minorHAnsi" w:cstheme="minorHAnsi"/>
                <w:sz w:val="22"/>
                <w:szCs w:val="22"/>
              </w:rPr>
            </w:pPr>
          </w:p>
        </w:tc>
      </w:tr>
      <w:tr w:rsidR="00A06425" w:rsidRPr="00A06425" w:rsidTr="006976D6">
        <w:tc>
          <w:tcPr>
            <w:tcW w:w="562" w:type="dxa"/>
            <w:shd w:val="clear" w:color="auto" w:fill="auto"/>
          </w:tcPr>
          <w:p w:rsidR="00A06425"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2</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D953F0" w:rsidP="004D086F">
            <w:pPr>
              <w:jc w:val="center"/>
              <w:rPr>
                <w:rFonts w:asciiTheme="minorHAnsi" w:hAnsiTheme="minorHAnsi" w:cstheme="minorHAnsi"/>
                <w:sz w:val="22"/>
                <w:szCs w:val="22"/>
              </w:rPr>
            </w:pPr>
            <w:r>
              <w:rPr>
                <w:rFonts w:asciiTheme="minorHAnsi" w:hAnsiTheme="minorHAnsi" w:cstheme="minorHAnsi"/>
                <w:sz w:val="22"/>
                <w:szCs w:val="22"/>
              </w:rPr>
              <w:t xml:space="preserve">Art.  4 </w:t>
            </w:r>
          </w:p>
        </w:tc>
        <w:tc>
          <w:tcPr>
            <w:tcW w:w="7938" w:type="dxa"/>
            <w:shd w:val="clear" w:color="auto" w:fill="auto"/>
          </w:tcPr>
          <w:p w:rsidR="00353376" w:rsidRDefault="00F67DCD" w:rsidP="00D953F0">
            <w:pPr>
              <w:jc w:val="both"/>
              <w:rPr>
                <w:rFonts w:asciiTheme="minorHAnsi" w:hAnsiTheme="minorHAnsi" w:cstheme="minorHAnsi"/>
                <w:sz w:val="22"/>
                <w:szCs w:val="22"/>
              </w:rPr>
            </w:pPr>
            <w:r>
              <w:rPr>
                <w:rFonts w:asciiTheme="minorHAnsi" w:hAnsiTheme="minorHAnsi" w:cstheme="minorHAnsi"/>
                <w:sz w:val="22"/>
                <w:szCs w:val="22"/>
              </w:rPr>
              <w:t xml:space="preserve">Zgodnie z projektowanym przepisem art. 6 ust. 1b </w:t>
            </w:r>
            <w:r w:rsidR="00D953F0" w:rsidRPr="00D953F0">
              <w:rPr>
                <w:rFonts w:asciiTheme="minorHAnsi" w:hAnsiTheme="minorHAnsi" w:cstheme="minorHAnsi"/>
                <w:sz w:val="22"/>
                <w:szCs w:val="22"/>
              </w:rPr>
              <w:t>ustaw</w:t>
            </w:r>
            <w:r>
              <w:rPr>
                <w:rFonts w:asciiTheme="minorHAnsi" w:hAnsiTheme="minorHAnsi" w:cstheme="minorHAnsi"/>
                <w:sz w:val="22"/>
                <w:szCs w:val="22"/>
              </w:rPr>
              <w:t>y</w:t>
            </w:r>
            <w:r w:rsidR="00D953F0" w:rsidRPr="00D953F0">
              <w:rPr>
                <w:rFonts w:asciiTheme="minorHAnsi" w:hAnsiTheme="minorHAnsi" w:cstheme="minorHAnsi"/>
                <w:sz w:val="22"/>
                <w:szCs w:val="22"/>
              </w:rPr>
              <w:t xml:space="preserve"> z dnia 14 lipca 1983 r. o narodowym zasobie archiwalnym i archiwach</w:t>
            </w:r>
            <w:r>
              <w:rPr>
                <w:rFonts w:asciiTheme="minorHAnsi" w:hAnsiTheme="minorHAnsi" w:cstheme="minorHAnsi"/>
                <w:sz w:val="22"/>
                <w:szCs w:val="22"/>
              </w:rPr>
              <w:t xml:space="preserve"> o</w:t>
            </w:r>
            <w:r w:rsidR="00353376" w:rsidRPr="00353376">
              <w:rPr>
                <w:rFonts w:asciiTheme="minorHAnsi" w:hAnsiTheme="minorHAnsi" w:cstheme="minorHAnsi"/>
                <w:sz w:val="22"/>
                <w:szCs w:val="22"/>
              </w:rPr>
              <w:t xml:space="preserve">rgany państwowe oraz państwowe jednostki organizacyjne, organy jednostek samorządu terytorialnego oraz samorządowe jednostki organizacyjne </w:t>
            </w:r>
            <w:r w:rsidR="00353376" w:rsidRPr="009F4A0B">
              <w:rPr>
                <w:rFonts w:asciiTheme="minorHAnsi" w:hAnsiTheme="minorHAnsi" w:cstheme="minorHAnsi"/>
                <w:sz w:val="22"/>
                <w:szCs w:val="22"/>
                <w:u w:val="single"/>
              </w:rPr>
              <w:t>są obowiązane</w:t>
            </w:r>
            <w:r w:rsidR="00353376" w:rsidRPr="00353376">
              <w:rPr>
                <w:rFonts w:asciiTheme="minorHAnsi" w:hAnsiTheme="minorHAnsi" w:cstheme="minorHAnsi"/>
                <w:sz w:val="22"/>
                <w:szCs w:val="22"/>
              </w:rPr>
              <w:t xml:space="preserve"> do prowadzenia systemu elektronicznego zarządzania dokumentacją</w:t>
            </w:r>
            <w:r>
              <w:rPr>
                <w:rFonts w:asciiTheme="minorHAnsi" w:hAnsiTheme="minorHAnsi" w:cstheme="minorHAnsi"/>
                <w:sz w:val="22"/>
                <w:szCs w:val="22"/>
              </w:rPr>
              <w:t>.</w:t>
            </w:r>
          </w:p>
          <w:p w:rsidR="00F67DCD" w:rsidRPr="00A06425" w:rsidRDefault="00F67DCD" w:rsidP="00D953F0">
            <w:pPr>
              <w:jc w:val="both"/>
              <w:rPr>
                <w:rFonts w:asciiTheme="minorHAnsi" w:hAnsiTheme="minorHAnsi" w:cstheme="minorHAnsi"/>
                <w:sz w:val="22"/>
                <w:szCs w:val="22"/>
              </w:rPr>
            </w:pPr>
            <w:r>
              <w:rPr>
                <w:rFonts w:asciiTheme="minorHAnsi" w:hAnsiTheme="minorHAnsi" w:cstheme="minorHAnsi"/>
                <w:sz w:val="22"/>
                <w:szCs w:val="22"/>
              </w:rPr>
              <w:t>Wobec powyższego wyjaśnienia wymaga wzajemna relacja tego przepisu, wprowadzającego obowiązek prowadzenia systemu, z przepisem ust. 1a zgodnie z którym z</w:t>
            </w:r>
            <w:r w:rsidRPr="00F67DCD">
              <w:rPr>
                <w:rFonts w:asciiTheme="minorHAnsi" w:hAnsiTheme="minorHAnsi" w:cstheme="minorHAnsi"/>
                <w:sz w:val="22"/>
                <w:szCs w:val="22"/>
              </w:rPr>
              <w:t xml:space="preserve">adania, o których mowa w </w:t>
            </w:r>
            <w:r>
              <w:rPr>
                <w:rFonts w:asciiTheme="minorHAnsi" w:hAnsiTheme="minorHAnsi" w:cstheme="minorHAnsi"/>
                <w:sz w:val="22"/>
                <w:szCs w:val="22"/>
              </w:rPr>
              <w:t xml:space="preserve">art. 6 </w:t>
            </w:r>
            <w:r w:rsidRPr="00F67DCD">
              <w:rPr>
                <w:rFonts w:asciiTheme="minorHAnsi" w:hAnsiTheme="minorHAnsi" w:cstheme="minorHAnsi"/>
                <w:sz w:val="22"/>
                <w:szCs w:val="22"/>
              </w:rPr>
              <w:t xml:space="preserve">ust. 1, </w:t>
            </w:r>
            <w:r w:rsidRPr="00F67DCD">
              <w:rPr>
                <w:rFonts w:asciiTheme="minorHAnsi" w:hAnsiTheme="minorHAnsi" w:cstheme="minorHAnsi"/>
                <w:sz w:val="22"/>
                <w:szCs w:val="22"/>
                <w:u w:val="single"/>
              </w:rPr>
              <w:t>mogą być</w:t>
            </w:r>
            <w:r w:rsidRPr="00F67DCD">
              <w:rPr>
                <w:rFonts w:asciiTheme="minorHAnsi" w:hAnsiTheme="minorHAnsi" w:cstheme="minorHAnsi"/>
                <w:sz w:val="22"/>
                <w:szCs w:val="22"/>
              </w:rPr>
              <w:t xml:space="preserve"> realizowane w ramach elektronicznego zarządzania dokumentacją</w:t>
            </w:r>
            <w:r>
              <w:rPr>
                <w:rFonts w:asciiTheme="minorHAnsi" w:hAnsiTheme="minorHAnsi" w:cstheme="minorHAnsi"/>
                <w:sz w:val="22"/>
                <w:szCs w:val="22"/>
              </w:rPr>
              <w:t xml:space="preserve">. </w:t>
            </w:r>
          </w:p>
        </w:tc>
        <w:tc>
          <w:tcPr>
            <w:tcW w:w="255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A06425" w:rsidRPr="00A06425" w:rsidTr="006976D6">
        <w:tc>
          <w:tcPr>
            <w:tcW w:w="562" w:type="dxa"/>
            <w:shd w:val="clear" w:color="auto" w:fill="auto"/>
          </w:tcPr>
          <w:p w:rsidR="00A06425"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3</w:t>
            </w:r>
          </w:p>
        </w:tc>
        <w:tc>
          <w:tcPr>
            <w:tcW w:w="1134" w:type="dxa"/>
            <w:shd w:val="clear" w:color="auto" w:fill="auto"/>
          </w:tcPr>
          <w:p w:rsidR="00A06425" w:rsidRPr="00A06425" w:rsidRDefault="00A06425" w:rsidP="004D086F">
            <w:pPr>
              <w:spacing w:before="60" w:after="60"/>
              <w:jc w:val="center"/>
              <w:rPr>
                <w:rFonts w:asciiTheme="minorHAnsi" w:hAnsiTheme="minorHAnsi" w:cstheme="minorHAnsi"/>
                <w:b/>
                <w:sz w:val="22"/>
                <w:szCs w:val="22"/>
              </w:rPr>
            </w:pPr>
          </w:p>
        </w:tc>
        <w:tc>
          <w:tcPr>
            <w:tcW w:w="1843" w:type="dxa"/>
            <w:shd w:val="clear" w:color="auto" w:fill="auto"/>
          </w:tcPr>
          <w:p w:rsidR="00A06425" w:rsidRPr="00A06425" w:rsidRDefault="00353376" w:rsidP="004D086F">
            <w:pPr>
              <w:jc w:val="center"/>
              <w:rPr>
                <w:rFonts w:asciiTheme="minorHAnsi" w:hAnsiTheme="minorHAnsi" w:cstheme="minorHAnsi"/>
                <w:sz w:val="22"/>
                <w:szCs w:val="22"/>
              </w:rPr>
            </w:pPr>
            <w:r>
              <w:rPr>
                <w:rFonts w:asciiTheme="minorHAnsi" w:hAnsiTheme="minorHAnsi" w:cstheme="minorHAnsi"/>
                <w:sz w:val="22"/>
                <w:szCs w:val="22"/>
              </w:rPr>
              <w:t>Art. 5</w:t>
            </w:r>
          </w:p>
        </w:tc>
        <w:tc>
          <w:tcPr>
            <w:tcW w:w="7938" w:type="dxa"/>
            <w:shd w:val="clear" w:color="auto" w:fill="auto"/>
          </w:tcPr>
          <w:p w:rsidR="00A06425" w:rsidRDefault="003303F4" w:rsidP="00353376">
            <w:pPr>
              <w:jc w:val="both"/>
              <w:rPr>
                <w:rFonts w:asciiTheme="minorHAnsi" w:hAnsiTheme="minorHAnsi" w:cstheme="minorHAnsi"/>
                <w:sz w:val="22"/>
                <w:szCs w:val="22"/>
              </w:rPr>
            </w:pPr>
            <w:r>
              <w:rPr>
                <w:rFonts w:asciiTheme="minorHAnsi" w:hAnsiTheme="minorHAnsi" w:cstheme="minorHAnsi"/>
                <w:sz w:val="22"/>
                <w:szCs w:val="22"/>
              </w:rPr>
              <w:t>Mając na uwadze</w:t>
            </w:r>
            <w:r w:rsidR="00353376">
              <w:rPr>
                <w:rFonts w:asciiTheme="minorHAnsi" w:hAnsiTheme="minorHAnsi" w:cstheme="minorHAnsi"/>
                <w:sz w:val="22"/>
                <w:szCs w:val="22"/>
              </w:rPr>
              <w:t xml:space="preserve"> projektowany</w:t>
            </w:r>
            <w:r>
              <w:rPr>
                <w:rFonts w:asciiTheme="minorHAnsi" w:hAnsiTheme="minorHAnsi" w:cstheme="minorHAnsi"/>
                <w:sz w:val="22"/>
                <w:szCs w:val="22"/>
              </w:rPr>
              <w:t xml:space="preserve"> przepis</w:t>
            </w:r>
            <w:r w:rsidR="00353376">
              <w:rPr>
                <w:rFonts w:asciiTheme="minorHAnsi" w:hAnsiTheme="minorHAnsi" w:cstheme="minorHAnsi"/>
                <w:sz w:val="22"/>
                <w:szCs w:val="22"/>
              </w:rPr>
              <w:t xml:space="preserve"> art. 37 ust. 6 </w:t>
            </w:r>
            <w:r w:rsidR="00353376" w:rsidRPr="00353376">
              <w:rPr>
                <w:rFonts w:asciiTheme="minorHAnsi" w:hAnsiTheme="minorHAnsi" w:cstheme="minorHAnsi"/>
                <w:sz w:val="22"/>
                <w:szCs w:val="22"/>
              </w:rPr>
              <w:t>ustaw</w:t>
            </w:r>
            <w:r w:rsidR="00353376">
              <w:rPr>
                <w:rFonts w:asciiTheme="minorHAnsi" w:hAnsiTheme="minorHAnsi" w:cstheme="minorHAnsi"/>
                <w:sz w:val="22"/>
                <w:szCs w:val="22"/>
              </w:rPr>
              <w:t>y</w:t>
            </w:r>
            <w:r w:rsidR="00353376" w:rsidRPr="00353376">
              <w:rPr>
                <w:rFonts w:asciiTheme="minorHAnsi" w:hAnsiTheme="minorHAnsi" w:cstheme="minorHAnsi"/>
                <w:sz w:val="22"/>
                <w:szCs w:val="22"/>
              </w:rPr>
              <w:t xml:space="preserve"> z dnia 20 grudnia 1990 r. o ubezpieczeniu społecznym rolników</w:t>
            </w:r>
            <w:r w:rsidR="00353376">
              <w:rPr>
                <w:rFonts w:asciiTheme="minorHAnsi" w:hAnsiTheme="minorHAnsi" w:cstheme="minorHAnsi"/>
                <w:sz w:val="22"/>
                <w:szCs w:val="22"/>
              </w:rPr>
              <w:t xml:space="preserve"> wskazać należy</w:t>
            </w:r>
            <w:r w:rsidR="009F4A0B">
              <w:rPr>
                <w:rFonts w:asciiTheme="minorHAnsi" w:hAnsiTheme="minorHAnsi" w:cstheme="minorHAnsi"/>
                <w:sz w:val="22"/>
                <w:szCs w:val="22"/>
              </w:rPr>
              <w:t>, że</w:t>
            </w:r>
            <w:r w:rsidR="00353376">
              <w:rPr>
                <w:rFonts w:asciiTheme="minorHAnsi" w:hAnsiTheme="minorHAnsi" w:cstheme="minorHAnsi"/>
                <w:sz w:val="22"/>
                <w:szCs w:val="22"/>
              </w:rPr>
              <w:t>:</w:t>
            </w:r>
          </w:p>
          <w:p w:rsidR="003303F4" w:rsidRDefault="00353376" w:rsidP="00353376">
            <w:pPr>
              <w:jc w:val="both"/>
              <w:rPr>
                <w:rFonts w:asciiTheme="minorHAnsi" w:hAnsiTheme="minorHAnsi" w:cstheme="minorHAnsi"/>
                <w:sz w:val="22"/>
                <w:szCs w:val="22"/>
              </w:rPr>
            </w:pPr>
            <w:r>
              <w:rPr>
                <w:rFonts w:asciiTheme="minorHAnsi" w:hAnsiTheme="minorHAnsi" w:cstheme="minorHAnsi"/>
                <w:sz w:val="22"/>
                <w:szCs w:val="22"/>
              </w:rPr>
              <w:t xml:space="preserve">1) odesłanie do (także projektowanego) przepisu art. 10 ust. 1 pkt 9a ustawy </w:t>
            </w:r>
            <w:r w:rsidR="009F4A0B">
              <w:rPr>
                <w:rFonts w:asciiTheme="minorHAnsi" w:hAnsiTheme="minorHAnsi" w:cstheme="minorHAnsi"/>
                <w:sz w:val="22"/>
                <w:szCs w:val="22"/>
              </w:rPr>
              <w:t xml:space="preserve">z dnia 20 lipca 2018 r. </w:t>
            </w:r>
            <w:r>
              <w:rPr>
                <w:rFonts w:asciiTheme="minorHAnsi" w:hAnsiTheme="minorHAnsi" w:cstheme="minorHAnsi"/>
                <w:sz w:val="22"/>
                <w:szCs w:val="22"/>
              </w:rPr>
              <w:t xml:space="preserve">o Polskim Instytucie Ekonomicznym jest niepoprawne. Wskazany przepis </w:t>
            </w:r>
            <w:r>
              <w:rPr>
                <w:rFonts w:asciiTheme="minorHAnsi" w:hAnsiTheme="minorHAnsi" w:cstheme="minorHAnsi"/>
                <w:sz w:val="22"/>
                <w:szCs w:val="22"/>
              </w:rPr>
              <w:lastRenderedPageBreak/>
              <w:t xml:space="preserve">dotyczy </w:t>
            </w:r>
            <w:r w:rsidR="003303F4">
              <w:rPr>
                <w:rFonts w:asciiTheme="minorHAnsi" w:hAnsiTheme="minorHAnsi" w:cstheme="minorHAnsi"/>
                <w:sz w:val="22"/>
                <w:szCs w:val="22"/>
              </w:rPr>
              <w:t xml:space="preserve">bowiem </w:t>
            </w:r>
            <w:r w:rsidR="00A15DF8" w:rsidRPr="00A15DF8">
              <w:rPr>
                <w:rFonts w:asciiTheme="minorHAnsi" w:hAnsiTheme="minorHAnsi" w:cstheme="minorHAnsi"/>
                <w:sz w:val="22"/>
                <w:szCs w:val="22"/>
              </w:rPr>
              <w:t>zadań i obowiązków Dyrektora Instytutu</w:t>
            </w:r>
            <w:r w:rsidR="003303F4">
              <w:rPr>
                <w:rFonts w:asciiTheme="minorHAnsi" w:hAnsiTheme="minorHAnsi" w:cstheme="minorHAnsi"/>
                <w:sz w:val="22"/>
                <w:szCs w:val="22"/>
              </w:rPr>
              <w:t>. Ponadto zadanie to dotyczy sporządzania rocznego planu wykonywania przez Instytut analiz polityk publicznych i nie stanowi podstawy prowadzenia takich analiz;</w:t>
            </w:r>
          </w:p>
          <w:p w:rsidR="00353376" w:rsidRDefault="003303F4" w:rsidP="00353376">
            <w:pPr>
              <w:jc w:val="both"/>
              <w:rPr>
                <w:rFonts w:asciiTheme="minorHAnsi" w:hAnsiTheme="minorHAnsi" w:cstheme="minorHAnsi"/>
                <w:sz w:val="22"/>
                <w:szCs w:val="22"/>
              </w:rPr>
            </w:pPr>
            <w:r>
              <w:rPr>
                <w:rFonts w:asciiTheme="minorHAnsi" w:hAnsiTheme="minorHAnsi" w:cstheme="minorHAnsi"/>
                <w:sz w:val="22"/>
                <w:szCs w:val="22"/>
              </w:rPr>
              <w:t xml:space="preserve">2) zarówno obecne przepisy ustawy </w:t>
            </w:r>
            <w:r w:rsidR="009F4A0B" w:rsidRPr="009F4A0B">
              <w:rPr>
                <w:rFonts w:asciiTheme="minorHAnsi" w:hAnsiTheme="minorHAnsi" w:cstheme="minorHAnsi"/>
                <w:sz w:val="22"/>
                <w:szCs w:val="22"/>
              </w:rPr>
              <w:t xml:space="preserve">z dnia 20 lipca 2018 r. </w:t>
            </w:r>
            <w:r>
              <w:rPr>
                <w:rFonts w:asciiTheme="minorHAnsi" w:hAnsiTheme="minorHAnsi" w:cstheme="minorHAnsi"/>
                <w:sz w:val="22"/>
                <w:szCs w:val="22"/>
              </w:rPr>
              <w:t>o Polskim Instytucie Ekonomicznym, jak i przepisy projektowane, nie wskazują na zadanie Instytutu polegające na analizie polityk publicznych;</w:t>
            </w:r>
          </w:p>
          <w:p w:rsidR="003303F4" w:rsidRDefault="003303F4" w:rsidP="00353376">
            <w:pPr>
              <w:jc w:val="both"/>
              <w:rPr>
                <w:rFonts w:asciiTheme="minorHAnsi" w:hAnsiTheme="minorHAnsi" w:cstheme="minorHAnsi"/>
                <w:sz w:val="22"/>
                <w:szCs w:val="22"/>
              </w:rPr>
            </w:pPr>
            <w:r>
              <w:rPr>
                <w:rFonts w:asciiTheme="minorHAnsi" w:hAnsiTheme="minorHAnsi" w:cstheme="minorHAnsi"/>
                <w:sz w:val="22"/>
                <w:szCs w:val="22"/>
              </w:rPr>
              <w:t xml:space="preserve">3) projektowany przepis </w:t>
            </w:r>
            <w:r w:rsidR="00423ABC">
              <w:rPr>
                <w:rFonts w:asciiTheme="minorHAnsi" w:hAnsiTheme="minorHAnsi" w:cstheme="minorHAnsi"/>
                <w:sz w:val="22"/>
                <w:szCs w:val="22"/>
              </w:rPr>
              <w:t xml:space="preserve">należy doprecyzować </w:t>
            </w:r>
            <w:r w:rsidR="000905B1">
              <w:rPr>
                <w:rFonts w:asciiTheme="minorHAnsi" w:hAnsiTheme="minorHAnsi" w:cstheme="minorHAnsi"/>
                <w:sz w:val="22"/>
                <w:szCs w:val="22"/>
              </w:rPr>
              <w:t>o rodzaj danych</w:t>
            </w:r>
            <w:r w:rsidR="00E802DF">
              <w:rPr>
                <w:rFonts w:asciiTheme="minorHAnsi" w:hAnsiTheme="minorHAnsi" w:cstheme="minorHAnsi"/>
                <w:sz w:val="22"/>
                <w:szCs w:val="22"/>
              </w:rPr>
              <w:t xml:space="preserve"> dotyczących</w:t>
            </w:r>
            <w:r w:rsidR="000905B1">
              <w:rPr>
                <w:rFonts w:asciiTheme="minorHAnsi" w:hAnsiTheme="minorHAnsi" w:cstheme="minorHAnsi"/>
                <w:sz w:val="22"/>
                <w:szCs w:val="22"/>
              </w:rPr>
              <w:t xml:space="preserve"> rolników i </w:t>
            </w:r>
            <w:r w:rsidR="00E802DF">
              <w:rPr>
                <w:rFonts w:asciiTheme="minorHAnsi" w:hAnsiTheme="minorHAnsi" w:cstheme="minorHAnsi"/>
                <w:sz w:val="22"/>
                <w:szCs w:val="22"/>
              </w:rPr>
              <w:t>domowników</w:t>
            </w:r>
            <w:r w:rsidR="000905B1">
              <w:rPr>
                <w:rFonts w:asciiTheme="minorHAnsi" w:hAnsiTheme="minorHAnsi" w:cstheme="minorHAnsi"/>
                <w:sz w:val="22"/>
                <w:szCs w:val="22"/>
              </w:rPr>
              <w:t xml:space="preserve"> </w:t>
            </w:r>
            <w:r w:rsidR="00E802DF">
              <w:rPr>
                <w:rFonts w:asciiTheme="minorHAnsi" w:hAnsiTheme="minorHAnsi" w:cstheme="minorHAnsi"/>
                <w:sz w:val="22"/>
                <w:szCs w:val="22"/>
              </w:rPr>
              <w:t>udostępnianych Polskiemu Instytutowi Ekonomicznemu;</w:t>
            </w:r>
          </w:p>
          <w:p w:rsidR="00E802DF" w:rsidRDefault="00E802DF" w:rsidP="00353376">
            <w:pPr>
              <w:jc w:val="both"/>
              <w:rPr>
                <w:rFonts w:asciiTheme="minorHAnsi" w:hAnsiTheme="minorHAnsi" w:cstheme="minorHAnsi"/>
                <w:sz w:val="22"/>
                <w:szCs w:val="22"/>
              </w:rPr>
            </w:pPr>
            <w:r>
              <w:rPr>
                <w:rFonts w:asciiTheme="minorHAnsi" w:hAnsiTheme="minorHAnsi" w:cstheme="minorHAnsi"/>
                <w:sz w:val="22"/>
                <w:szCs w:val="22"/>
              </w:rPr>
              <w:t xml:space="preserve">4) zwrócić należy uwagę, że zgodnie z art. 31 pkt 9 ustawy (w zakresie projektowanego art. 21a ust. 7 pkt 16 </w:t>
            </w:r>
            <w:proofErr w:type="spellStart"/>
            <w:r>
              <w:rPr>
                <w:rFonts w:asciiTheme="minorHAnsi" w:hAnsiTheme="minorHAnsi" w:cstheme="minorHAnsi"/>
                <w:sz w:val="22"/>
                <w:szCs w:val="22"/>
              </w:rPr>
              <w:t>pseudonimizowane</w:t>
            </w:r>
            <w:proofErr w:type="spellEnd"/>
            <w:r>
              <w:rPr>
                <w:rFonts w:asciiTheme="minorHAnsi" w:hAnsiTheme="minorHAnsi" w:cstheme="minorHAnsi"/>
                <w:sz w:val="22"/>
                <w:szCs w:val="22"/>
              </w:rPr>
              <w:t xml:space="preserve"> dane udostępniane są przez Prezesa KRUS </w:t>
            </w:r>
            <w:r w:rsidR="009B2EAF">
              <w:rPr>
                <w:rFonts w:asciiTheme="minorHAnsi" w:hAnsiTheme="minorHAnsi" w:cstheme="minorHAnsi"/>
                <w:sz w:val="22"/>
                <w:szCs w:val="22"/>
              </w:rPr>
              <w:t>– a nie „udostępniane przez Kasę”</w:t>
            </w:r>
            <w:r w:rsidR="00B278C0">
              <w:rPr>
                <w:rFonts w:asciiTheme="minorHAnsi" w:hAnsiTheme="minorHAnsi" w:cstheme="minorHAnsi"/>
                <w:sz w:val="22"/>
                <w:szCs w:val="22"/>
              </w:rPr>
              <w:t>;</w:t>
            </w:r>
          </w:p>
          <w:p w:rsidR="00B278C0" w:rsidRPr="00A06425" w:rsidRDefault="00B278C0" w:rsidP="00353376">
            <w:pPr>
              <w:jc w:val="both"/>
              <w:rPr>
                <w:rFonts w:asciiTheme="minorHAnsi" w:hAnsiTheme="minorHAnsi" w:cstheme="minorHAnsi"/>
                <w:sz w:val="22"/>
                <w:szCs w:val="22"/>
              </w:rPr>
            </w:pPr>
            <w:r>
              <w:rPr>
                <w:rFonts w:asciiTheme="minorHAnsi" w:hAnsiTheme="minorHAnsi" w:cstheme="minorHAnsi"/>
                <w:sz w:val="22"/>
                <w:szCs w:val="22"/>
              </w:rPr>
              <w:t>5) rozważeni</w:t>
            </w:r>
            <w:r w:rsidR="009F4A0B">
              <w:rPr>
                <w:rFonts w:asciiTheme="minorHAnsi" w:hAnsiTheme="minorHAnsi" w:cstheme="minorHAnsi"/>
                <w:sz w:val="22"/>
                <w:szCs w:val="22"/>
              </w:rPr>
              <w:t>a wymaga</w:t>
            </w:r>
            <w:r>
              <w:rPr>
                <w:rFonts w:asciiTheme="minorHAnsi" w:hAnsiTheme="minorHAnsi" w:cstheme="minorHAnsi"/>
                <w:sz w:val="22"/>
                <w:szCs w:val="22"/>
              </w:rPr>
              <w:t xml:space="preserve"> </w:t>
            </w:r>
            <w:r w:rsidR="009F4A0B">
              <w:rPr>
                <w:rFonts w:asciiTheme="minorHAnsi" w:hAnsiTheme="minorHAnsi" w:cstheme="minorHAnsi"/>
                <w:sz w:val="22"/>
                <w:szCs w:val="22"/>
              </w:rPr>
              <w:t>doprecyzowanie</w:t>
            </w:r>
            <w:r>
              <w:rPr>
                <w:rFonts w:asciiTheme="minorHAnsi" w:hAnsiTheme="minorHAnsi" w:cstheme="minorHAnsi"/>
                <w:sz w:val="22"/>
                <w:szCs w:val="22"/>
              </w:rPr>
              <w:t xml:space="preserve">, że dane udostępnia się także </w:t>
            </w:r>
            <w:r w:rsidRPr="001D7305">
              <w:rPr>
                <w:rFonts w:asciiTheme="minorHAnsi" w:hAnsiTheme="minorHAnsi" w:cstheme="minorHAnsi"/>
                <w:sz w:val="22"/>
                <w:szCs w:val="22"/>
                <w:u w:val="single"/>
              </w:rPr>
              <w:t>w zakresie</w:t>
            </w:r>
            <w:r>
              <w:rPr>
                <w:rFonts w:asciiTheme="minorHAnsi" w:hAnsiTheme="minorHAnsi" w:cstheme="minorHAnsi"/>
                <w:sz w:val="22"/>
                <w:szCs w:val="22"/>
              </w:rPr>
              <w:t xml:space="preserve"> określonym przez ustawę </w:t>
            </w:r>
            <w:r w:rsidR="009F4A0B" w:rsidRPr="009F4A0B">
              <w:rPr>
                <w:rFonts w:asciiTheme="minorHAnsi" w:hAnsiTheme="minorHAnsi" w:cstheme="minorHAnsi"/>
                <w:sz w:val="22"/>
                <w:szCs w:val="22"/>
              </w:rPr>
              <w:t xml:space="preserve">z dnia 20 lipca 2018 r. </w:t>
            </w:r>
            <w:r>
              <w:rPr>
                <w:rFonts w:asciiTheme="minorHAnsi" w:hAnsiTheme="minorHAnsi" w:cstheme="minorHAnsi"/>
                <w:sz w:val="22"/>
                <w:szCs w:val="22"/>
              </w:rPr>
              <w:t>o Polskim Instytucie Ekonomicznym.</w:t>
            </w:r>
          </w:p>
        </w:tc>
        <w:tc>
          <w:tcPr>
            <w:tcW w:w="2552" w:type="dxa"/>
            <w:shd w:val="clear" w:color="auto" w:fill="auto"/>
          </w:tcPr>
          <w:p w:rsidR="00A06425" w:rsidRPr="00A06425" w:rsidRDefault="00A06425" w:rsidP="004D086F">
            <w:pPr>
              <w:jc w:val="center"/>
              <w:rPr>
                <w:rFonts w:asciiTheme="minorHAnsi" w:hAnsiTheme="minorHAnsi" w:cstheme="minorHAnsi"/>
                <w:sz w:val="22"/>
                <w:szCs w:val="22"/>
              </w:rPr>
            </w:pPr>
          </w:p>
        </w:tc>
        <w:tc>
          <w:tcPr>
            <w:tcW w:w="1359" w:type="dxa"/>
          </w:tcPr>
          <w:p w:rsidR="00A06425" w:rsidRPr="00A06425" w:rsidRDefault="00A06425" w:rsidP="004D086F">
            <w:pPr>
              <w:jc w:val="center"/>
              <w:rPr>
                <w:rFonts w:asciiTheme="minorHAnsi" w:hAnsiTheme="minorHAnsi" w:cstheme="minorHAnsi"/>
                <w:sz w:val="22"/>
                <w:szCs w:val="22"/>
              </w:rPr>
            </w:pPr>
          </w:p>
        </w:tc>
      </w:tr>
      <w:tr w:rsidR="006976D6" w:rsidRPr="00A06425" w:rsidTr="006976D6">
        <w:tc>
          <w:tcPr>
            <w:tcW w:w="562" w:type="dxa"/>
            <w:shd w:val="clear" w:color="auto" w:fill="auto"/>
          </w:tcPr>
          <w:p w:rsidR="006976D6"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4</w:t>
            </w:r>
          </w:p>
        </w:tc>
        <w:tc>
          <w:tcPr>
            <w:tcW w:w="1134" w:type="dxa"/>
            <w:shd w:val="clear" w:color="auto" w:fill="auto"/>
          </w:tcPr>
          <w:p w:rsidR="006976D6" w:rsidRPr="00A06425" w:rsidRDefault="006976D6" w:rsidP="004D086F">
            <w:pPr>
              <w:spacing w:before="60" w:after="60"/>
              <w:jc w:val="center"/>
              <w:rPr>
                <w:rFonts w:asciiTheme="minorHAnsi" w:hAnsiTheme="minorHAnsi" w:cstheme="minorHAnsi"/>
                <w:b/>
                <w:sz w:val="22"/>
                <w:szCs w:val="22"/>
              </w:rPr>
            </w:pPr>
          </w:p>
        </w:tc>
        <w:tc>
          <w:tcPr>
            <w:tcW w:w="1843" w:type="dxa"/>
            <w:shd w:val="clear" w:color="auto" w:fill="auto"/>
          </w:tcPr>
          <w:p w:rsidR="006976D6" w:rsidRPr="00A06425" w:rsidRDefault="00D5500F" w:rsidP="004D086F">
            <w:pPr>
              <w:jc w:val="center"/>
              <w:rPr>
                <w:rFonts w:asciiTheme="minorHAnsi" w:hAnsiTheme="minorHAnsi" w:cstheme="minorHAnsi"/>
                <w:sz w:val="22"/>
                <w:szCs w:val="22"/>
              </w:rPr>
            </w:pPr>
            <w:r>
              <w:rPr>
                <w:rFonts w:asciiTheme="minorHAnsi" w:hAnsiTheme="minorHAnsi" w:cstheme="minorHAnsi"/>
                <w:sz w:val="22"/>
                <w:szCs w:val="22"/>
              </w:rPr>
              <w:t>Art. 6</w:t>
            </w:r>
          </w:p>
        </w:tc>
        <w:tc>
          <w:tcPr>
            <w:tcW w:w="7938" w:type="dxa"/>
            <w:shd w:val="clear" w:color="auto" w:fill="auto"/>
          </w:tcPr>
          <w:p w:rsidR="00D5500F" w:rsidRPr="00D5500F" w:rsidRDefault="00D5500F" w:rsidP="00D5500F">
            <w:pPr>
              <w:jc w:val="both"/>
              <w:rPr>
                <w:rFonts w:asciiTheme="minorHAnsi" w:hAnsiTheme="minorHAnsi" w:cstheme="minorHAnsi"/>
                <w:sz w:val="22"/>
                <w:szCs w:val="22"/>
              </w:rPr>
            </w:pPr>
            <w:r w:rsidRPr="00D5500F">
              <w:rPr>
                <w:rFonts w:asciiTheme="minorHAnsi" w:hAnsiTheme="minorHAnsi" w:cstheme="minorHAnsi"/>
                <w:sz w:val="22"/>
                <w:szCs w:val="22"/>
              </w:rPr>
              <w:t xml:space="preserve">Mając na uwadze projektowany przepis </w:t>
            </w:r>
            <w:r>
              <w:rPr>
                <w:rFonts w:asciiTheme="minorHAnsi" w:hAnsiTheme="minorHAnsi" w:cstheme="minorHAnsi"/>
                <w:sz w:val="22"/>
                <w:szCs w:val="22"/>
              </w:rPr>
              <w:t>art. 14</w:t>
            </w:r>
            <w:proofErr w:type="gramStart"/>
            <w:r>
              <w:rPr>
                <w:rFonts w:asciiTheme="minorHAnsi" w:hAnsiTheme="minorHAnsi" w:cstheme="minorHAnsi"/>
                <w:sz w:val="22"/>
                <w:szCs w:val="22"/>
              </w:rPr>
              <w:t xml:space="preserve">c </w:t>
            </w:r>
            <w:r w:rsidRPr="00D5500F">
              <w:rPr>
                <w:rFonts w:asciiTheme="minorHAnsi" w:hAnsiTheme="minorHAnsi" w:cstheme="minorHAnsi"/>
                <w:sz w:val="22"/>
                <w:szCs w:val="22"/>
              </w:rPr>
              <w:t xml:space="preserve"> ustaw</w:t>
            </w:r>
            <w:r>
              <w:rPr>
                <w:rFonts w:asciiTheme="minorHAnsi" w:hAnsiTheme="minorHAnsi" w:cstheme="minorHAnsi"/>
                <w:sz w:val="22"/>
                <w:szCs w:val="22"/>
              </w:rPr>
              <w:t>y</w:t>
            </w:r>
            <w:proofErr w:type="gramEnd"/>
            <w:r w:rsidRPr="00D5500F">
              <w:rPr>
                <w:rFonts w:asciiTheme="minorHAnsi" w:hAnsiTheme="minorHAnsi" w:cstheme="minorHAnsi"/>
                <w:sz w:val="22"/>
                <w:szCs w:val="22"/>
              </w:rPr>
              <w:t xml:space="preserve"> z dnia 13 października 1995 r. o zasadach ewidencji i identyfikacji podatników i płatników wskazać należy</w:t>
            </w:r>
            <w:r w:rsidR="009F4A0B">
              <w:rPr>
                <w:rFonts w:asciiTheme="minorHAnsi" w:hAnsiTheme="minorHAnsi" w:cstheme="minorHAnsi"/>
                <w:sz w:val="22"/>
                <w:szCs w:val="22"/>
              </w:rPr>
              <w:t>, że</w:t>
            </w:r>
            <w:r w:rsidRPr="00D5500F">
              <w:rPr>
                <w:rFonts w:asciiTheme="minorHAnsi" w:hAnsiTheme="minorHAnsi" w:cstheme="minorHAnsi"/>
                <w:sz w:val="22"/>
                <w:szCs w:val="22"/>
              </w:rPr>
              <w:t>:</w:t>
            </w:r>
          </w:p>
          <w:p w:rsidR="00D5500F" w:rsidRPr="00D5500F" w:rsidRDefault="00D5500F" w:rsidP="00D5500F">
            <w:pPr>
              <w:jc w:val="both"/>
              <w:rPr>
                <w:rFonts w:asciiTheme="minorHAnsi" w:hAnsiTheme="minorHAnsi" w:cstheme="minorHAnsi"/>
                <w:sz w:val="22"/>
                <w:szCs w:val="22"/>
              </w:rPr>
            </w:pPr>
            <w:r w:rsidRPr="00D5500F">
              <w:rPr>
                <w:rFonts w:asciiTheme="minorHAnsi" w:hAnsiTheme="minorHAnsi" w:cstheme="minorHAnsi"/>
                <w:sz w:val="22"/>
                <w:szCs w:val="22"/>
              </w:rPr>
              <w:t xml:space="preserve">1) odesłanie do (także projektowanego) przepisu art. 10 ust. 1 pkt 9a ustawy </w:t>
            </w:r>
            <w:r w:rsidR="009F4A0B" w:rsidRPr="009F4A0B">
              <w:rPr>
                <w:rFonts w:asciiTheme="minorHAnsi" w:hAnsiTheme="minorHAnsi" w:cstheme="minorHAnsi"/>
                <w:sz w:val="22"/>
                <w:szCs w:val="22"/>
              </w:rPr>
              <w:t xml:space="preserve">z dnia 20 lipca 2018 r. </w:t>
            </w:r>
            <w:r w:rsidRPr="00D5500F">
              <w:rPr>
                <w:rFonts w:asciiTheme="minorHAnsi" w:hAnsiTheme="minorHAnsi" w:cstheme="minorHAnsi"/>
                <w:sz w:val="22"/>
                <w:szCs w:val="22"/>
              </w:rPr>
              <w:t>o Polskim Instytucie Ekonomicznym jest niepoprawne. Wskazany przepis dotyczy bowiem zadań i obowiązków Dyrektora Instytutu. Ponadto zadanie to dotyczy sporządzania rocznego planu wykonywania przez Instytut analiz polityk publicznych i nie stanowi podstawy prowadzenia takich analiz;</w:t>
            </w:r>
          </w:p>
          <w:p w:rsidR="00D5500F" w:rsidRPr="00D5500F" w:rsidRDefault="00D5500F" w:rsidP="00D5500F">
            <w:pPr>
              <w:jc w:val="both"/>
              <w:rPr>
                <w:rFonts w:asciiTheme="minorHAnsi" w:hAnsiTheme="minorHAnsi" w:cstheme="minorHAnsi"/>
                <w:sz w:val="22"/>
                <w:szCs w:val="22"/>
              </w:rPr>
            </w:pPr>
            <w:r w:rsidRPr="00D5500F">
              <w:rPr>
                <w:rFonts w:asciiTheme="minorHAnsi" w:hAnsiTheme="minorHAnsi" w:cstheme="minorHAnsi"/>
                <w:sz w:val="22"/>
                <w:szCs w:val="22"/>
              </w:rPr>
              <w:t xml:space="preserve">2) zarówno obecne przepisy ustawy </w:t>
            </w:r>
            <w:r w:rsidR="009F4A0B" w:rsidRPr="009F4A0B">
              <w:rPr>
                <w:rFonts w:asciiTheme="minorHAnsi" w:hAnsiTheme="minorHAnsi" w:cstheme="minorHAnsi"/>
                <w:sz w:val="22"/>
                <w:szCs w:val="22"/>
              </w:rPr>
              <w:t xml:space="preserve">z dnia 20 lipca 2018 r. </w:t>
            </w:r>
            <w:r w:rsidRPr="00D5500F">
              <w:rPr>
                <w:rFonts w:asciiTheme="minorHAnsi" w:hAnsiTheme="minorHAnsi" w:cstheme="minorHAnsi"/>
                <w:sz w:val="22"/>
                <w:szCs w:val="22"/>
              </w:rPr>
              <w:t>o Polskim Instytucie Ekonomicznym, jak i przepisy projektowane, nie wskazują na zadanie Instytutu polegające na analizie polityk publicznych;</w:t>
            </w:r>
          </w:p>
          <w:p w:rsidR="00D5500F" w:rsidRPr="00D5500F" w:rsidRDefault="00D5500F" w:rsidP="00D5500F">
            <w:pPr>
              <w:jc w:val="both"/>
              <w:rPr>
                <w:rFonts w:asciiTheme="minorHAnsi" w:hAnsiTheme="minorHAnsi" w:cstheme="minorHAnsi"/>
                <w:sz w:val="22"/>
                <w:szCs w:val="22"/>
              </w:rPr>
            </w:pPr>
            <w:r w:rsidRPr="00D5500F">
              <w:rPr>
                <w:rFonts w:asciiTheme="minorHAnsi" w:hAnsiTheme="minorHAnsi" w:cstheme="minorHAnsi"/>
                <w:sz w:val="22"/>
                <w:szCs w:val="22"/>
              </w:rPr>
              <w:t xml:space="preserve">3) projektowany przepis należy doprecyzować o rodzaj </w:t>
            </w:r>
            <w:r>
              <w:rPr>
                <w:rFonts w:asciiTheme="minorHAnsi" w:hAnsiTheme="minorHAnsi" w:cstheme="minorHAnsi"/>
                <w:sz w:val="22"/>
                <w:szCs w:val="22"/>
              </w:rPr>
              <w:t xml:space="preserve">przekazywanych </w:t>
            </w:r>
            <w:r w:rsidRPr="00D5500F">
              <w:rPr>
                <w:rFonts w:asciiTheme="minorHAnsi" w:hAnsiTheme="minorHAnsi" w:cstheme="minorHAnsi"/>
                <w:sz w:val="22"/>
                <w:szCs w:val="22"/>
              </w:rPr>
              <w:t>danych;</w:t>
            </w:r>
          </w:p>
          <w:p w:rsidR="006976D6" w:rsidRPr="00A06425" w:rsidRDefault="00D5500F" w:rsidP="00D5500F">
            <w:pPr>
              <w:jc w:val="both"/>
              <w:rPr>
                <w:rFonts w:asciiTheme="minorHAnsi" w:hAnsiTheme="minorHAnsi" w:cstheme="minorHAnsi"/>
                <w:sz w:val="22"/>
                <w:szCs w:val="22"/>
              </w:rPr>
            </w:pPr>
            <w:r>
              <w:rPr>
                <w:rFonts w:asciiTheme="minorHAnsi" w:hAnsiTheme="minorHAnsi" w:cstheme="minorHAnsi"/>
                <w:sz w:val="22"/>
                <w:szCs w:val="22"/>
              </w:rPr>
              <w:t>4</w:t>
            </w:r>
            <w:r w:rsidRPr="00D5500F">
              <w:rPr>
                <w:rFonts w:asciiTheme="minorHAnsi" w:hAnsiTheme="minorHAnsi" w:cstheme="minorHAnsi"/>
                <w:sz w:val="22"/>
                <w:szCs w:val="22"/>
              </w:rPr>
              <w:t>) rozważeni</w:t>
            </w:r>
            <w:r w:rsidR="009F4A0B">
              <w:rPr>
                <w:rFonts w:asciiTheme="minorHAnsi" w:hAnsiTheme="minorHAnsi" w:cstheme="minorHAnsi"/>
                <w:sz w:val="22"/>
                <w:szCs w:val="22"/>
              </w:rPr>
              <w:t>a</w:t>
            </w:r>
            <w:r w:rsidRPr="00D5500F">
              <w:rPr>
                <w:rFonts w:asciiTheme="minorHAnsi" w:hAnsiTheme="minorHAnsi" w:cstheme="minorHAnsi"/>
                <w:sz w:val="22"/>
                <w:szCs w:val="22"/>
              </w:rPr>
              <w:t xml:space="preserve"> </w:t>
            </w:r>
            <w:r w:rsidR="009F4A0B">
              <w:rPr>
                <w:rFonts w:asciiTheme="minorHAnsi" w:hAnsiTheme="minorHAnsi" w:cstheme="minorHAnsi"/>
                <w:sz w:val="22"/>
                <w:szCs w:val="22"/>
              </w:rPr>
              <w:t>wymaga doprecyzowanie</w:t>
            </w:r>
            <w:r w:rsidRPr="00D5500F">
              <w:rPr>
                <w:rFonts w:asciiTheme="minorHAnsi" w:hAnsiTheme="minorHAnsi" w:cstheme="minorHAnsi"/>
                <w:sz w:val="22"/>
                <w:szCs w:val="22"/>
              </w:rPr>
              <w:t xml:space="preserve">, że dane udostępnia się także w zakresie określonym przez ustawę </w:t>
            </w:r>
            <w:r w:rsidR="009F4A0B" w:rsidRPr="009F4A0B">
              <w:rPr>
                <w:rFonts w:asciiTheme="minorHAnsi" w:hAnsiTheme="minorHAnsi" w:cstheme="minorHAnsi"/>
                <w:sz w:val="22"/>
                <w:szCs w:val="22"/>
              </w:rPr>
              <w:t xml:space="preserve">z dnia 20 lipca 2018 r. </w:t>
            </w:r>
            <w:r w:rsidRPr="00D5500F">
              <w:rPr>
                <w:rFonts w:asciiTheme="minorHAnsi" w:hAnsiTheme="minorHAnsi" w:cstheme="minorHAnsi"/>
                <w:sz w:val="22"/>
                <w:szCs w:val="22"/>
              </w:rPr>
              <w:t>o Polskim Instytucie Ekonomicznym</w:t>
            </w:r>
            <w:r>
              <w:rPr>
                <w:rFonts w:asciiTheme="minorHAnsi" w:hAnsiTheme="minorHAnsi" w:cstheme="minorHAnsi"/>
                <w:sz w:val="22"/>
                <w:szCs w:val="22"/>
              </w:rPr>
              <w:t>.</w:t>
            </w:r>
          </w:p>
        </w:tc>
        <w:tc>
          <w:tcPr>
            <w:tcW w:w="2552" w:type="dxa"/>
            <w:shd w:val="clear" w:color="auto" w:fill="auto"/>
          </w:tcPr>
          <w:p w:rsidR="006976D6" w:rsidRPr="00A06425" w:rsidRDefault="006976D6" w:rsidP="004D086F">
            <w:pPr>
              <w:jc w:val="center"/>
              <w:rPr>
                <w:rFonts w:asciiTheme="minorHAnsi" w:hAnsiTheme="minorHAnsi" w:cstheme="minorHAnsi"/>
                <w:sz w:val="22"/>
                <w:szCs w:val="22"/>
              </w:rPr>
            </w:pPr>
          </w:p>
        </w:tc>
        <w:tc>
          <w:tcPr>
            <w:tcW w:w="1359" w:type="dxa"/>
          </w:tcPr>
          <w:p w:rsidR="006976D6" w:rsidRPr="00A06425" w:rsidRDefault="006976D6" w:rsidP="004D086F">
            <w:pPr>
              <w:jc w:val="center"/>
              <w:rPr>
                <w:rFonts w:asciiTheme="minorHAnsi" w:hAnsiTheme="minorHAnsi" w:cstheme="minorHAnsi"/>
                <w:sz w:val="22"/>
                <w:szCs w:val="22"/>
              </w:rPr>
            </w:pPr>
          </w:p>
        </w:tc>
      </w:tr>
      <w:tr w:rsidR="006976D6" w:rsidRPr="00A06425" w:rsidTr="006976D6">
        <w:tc>
          <w:tcPr>
            <w:tcW w:w="562" w:type="dxa"/>
            <w:shd w:val="clear" w:color="auto" w:fill="auto"/>
          </w:tcPr>
          <w:p w:rsidR="006976D6"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5</w:t>
            </w:r>
          </w:p>
        </w:tc>
        <w:tc>
          <w:tcPr>
            <w:tcW w:w="1134" w:type="dxa"/>
            <w:shd w:val="clear" w:color="auto" w:fill="auto"/>
          </w:tcPr>
          <w:p w:rsidR="006976D6" w:rsidRPr="00A06425" w:rsidRDefault="006976D6" w:rsidP="004D086F">
            <w:pPr>
              <w:spacing w:before="60" w:after="60"/>
              <w:jc w:val="center"/>
              <w:rPr>
                <w:rFonts w:asciiTheme="minorHAnsi" w:hAnsiTheme="minorHAnsi" w:cstheme="minorHAnsi"/>
                <w:b/>
                <w:sz w:val="22"/>
                <w:szCs w:val="22"/>
              </w:rPr>
            </w:pPr>
          </w:p>
        </w:tc>
        <w:tc>
          <w:tcPr>
            <w:tcW w:w="1843" w:type="dxa"/>
            <w:shd w:val="clear" w:color="auto" w:fill="auto"/>
          </w:tcPr>
          <w:p w:rsidR="006976D6" w:rsidRPr="00A06425" w:rsidRDefault="0090208E" w:rsidP="004D086F">
            <w:pPr>
              <w:jc w:val="center"/>
              <w:rPr>
                <w:rFonts w:asciiTheme="minorHAnsi" w:hAnsiTheme="minorHAnsi" w:cstheme="minorHAnsi"/>
                <w:sz w:val="22"/>
                <w:szCs w:val="22"/>
              </w:rPr>
            </w:pPr>
            <w:r>
              <w:rPr>
                <w:rFonts w:asciiTheme="minorHAnsi" w:hAnsiTheme="minorHAnsi" w:cstheme="minorHAnsi"/>
                <w:sz w:val="22"/>
                <w:szCs w:val="22"/>
              </w:rPr>
              <w:t xml:space="preserve">Art. 7 </w:t>
            </w:r>
          </w:p>
        </w:tc>
        <w:tc>
          <w:tcPr>
            <w:tcW w:w="7938" w:type="dxa"/>
            <w:shd w:val="clear" w:color="auto" w:fill="auto"/>
          </w:tcPr>
          <w:p w:rsidR="006976D6" w:rsidRPr="00A06425" w:rsidRDefault="00A12CF0" w:rsidP="00F712AC">
            <w:pPr>
              <w:jc w:val="both"/>
              <w:rPr>
                <w:rFonts w:asciiTheme="minorHAnsi" w:hAnsiTheme="minorHAnsi" w:cstheme="minorHAnsi"/>
                <w:sz w:val="22"/>
                <w:szCs w:val="22"/>
              </w:rPr>
            </w:pPr>
            <w:r>
              <w:rPr>
                <w:rFonts w:asciiTheme="minorHAnsi" w:hAnsiTheme="minorHAnsi" w:cstheme="minorHAnsi"/>
                <w:sz w:val="22"/>
                <w:szCs w:val="22"/>
              </w:rPr>
              <w:t xml:space="preserve">Mając na uwadze, że zgodnie z art. 42 ust. </w:t>
            </w:r>
            <w:r w:rsidRPr="00A12CF0">
              <w:rPr>
                <w:rFonts w:asciiTheme="minorHAnsi" w:hAnsiTheme="minorHAnsi" w:cstheme="minorHAnsi"/>
                <w:sz w:val="22"/>
                <w:szCs w:val="22"/>
              </w:rPr>
              <w:t>4</w:t>
            </w:r>
            <w:r>
              <w:rPr>
                <w:rFonts w:asciiTheme="minorHAnsi" w:hAnsiTheme="minorHAnsi" w:cstheme="minorHAnsi"/>
                <w:sz w:val="22"/>
                <w:szCs w:val="22"/>
              </w:rPr>
              <w:t xml:space="preserve"> i 4a </w:t>
            </w:r>
            <w:r w:rsidR="009A6358">
              <w:rPr>
                <w:rFonts w:asciiTheme="minorHAnsi" w:hAnsiTheme="minorHAnsi" w:cstheme="minorHAnsi"/>
                <w:sz w:val="22"/>
                <w:szCs w:val="22"/>
              </w:rPr>
              <w:t xml:space="preserve">ustawy z dnia 6 grudnia 1996 r. o zastawie rejestrowym i rejestrze zastawów </w:t>
            </w:r>
            <w:r w:rsidRPr="00A12CF0">
              <w:rPr>
                <w:rFonts w:asciiTheme="minorHAnsi" w:hAnsiTheme="minorHAnsi" w:cstheme="minorHAnsi"/>
                <w:sz w:val="22"/>
                <w:szCs w:val="22"/>
              </w:rPr>
              <w:t>Centralna informacja o zastawach rejestrowych pobiera opłaty za udzielanie informacji oraz wydawanie odpisów i zaświadczeń</w:t>
            </w:r>
            <w:r>
              <w:rPr>
                <w:rFonts w:asciiTheme="minorHAnsi" w:hAnsiTheme="minorHAnsi" w:cstheme="minorHAnsi"/>
                <w:sz w:val="22"/>
                <w:szCs w:val="22"/>
              </w:rPr>
              <w:t xml:space="preserve">, a zwolnionymi z tych opłat są </w:t>
            </w:r>
            <w:r w:rsidRPr="00A12CF0">
              <w:rPr>
                <w:rFonts w:asciiTheme="minorHAnsi" w:hAnsiTheme="minorHAnsi" w:cstheme="minorHAnsi"/>
                <w:sz w:val="22"/>
                <w:szCs w:val="22"/>
              </w:rPr>
              <w:t xml:space="preserve">Skarb Państwa, państwowe jednostki organizacyjne, jednostki samorządu terytorialnego oraz związki międzygminne, związki powiatów, związki powiatowo-gminne i związki metropolitalne, </w:t>
            </w:r>
            <w:r w:rsidRPr="00A12CF0">
              <w:rPr>
                <w:rFonts w:asciiTheme="minorHAnsi" w:hAnsiTheme="minorHAnsi" w:cstheme="minorHAnsi"/>
                <w:sz w:val="22"/>
                <w:szCs w:val="22"/>
                <w:u w:val="single"/>
              </w:rPr>
              <w:t>których zadanie nie polega na prowadzeniu działalności gospodarczej</w:t>
            </w:r>
            <w:r>
              <w:rPr>
                <w:rFonts w:asciiTheme="minorHAnsi" w:hAnsiTheme="minorHAnsi" w:cstheme="minorHAnsi"/>
                <w:sz w:val="22"/>
                <w:szCs w:val="22"/>
                <w:u w:val="single"/>
              </w:rPr>
              <w:t>,</w:t>
            </w:r>
            <w:r w:rsidRPr="009C56AF">
              <w:rPr>
                <w:rFonts w:asciiTheme="minorHAnsi" w:hAnsiTheme="minorHAnsi" w:cstheme="minorHAnsi"/>
                <w:sz w:val="22"/>
                <w:szCs w:val="22"/>
              </w:rPr>
              <w:t xml:space="preserve"> </w:t>
            </w:r>
            <w:r w:rsidRPr="00A12CF0">
              <w:rPr>
                <w:rFonts w:asciiTheme="minorHAnsi" w:hAnsiTheme="minorHAnsi" w:cstheme="minorHAnsi"/>
                <w:sz w:val="22"/>
                <w:szCs w:val="22"/>
              </w:rPr>
              <w:t xml:space="preserve">szczególnego uzasadnienia w kontekście </w:t>
            </w:r>
            <w:r w:rsidR="00F712AC">
              <w:rPr>
                <w:rFonts w:asciiTheme="minorHAnsi" w:hAnsiTheme="minorHAnsi" w:cstheme="minorHAnsi"/>
                <w:sz w:val="22"/>
                <w:szCs w:val="22"/>
              </w:rPr>
              <w:t xml:space="preserve">gospodarności i </w:t>
            </w:r>
            <w:r w:rsidRPr="00A12CF0">
              <w:rPr>
                <w:rFonts w:asciiTheme="minorHAnsi" w:hAnsiTheme="minorHAnsi" w:cstheme="minorHAnsi"/>
                <w:sz w:val="22"/>
                <w:szCs w:val="22"/>
              </w:rPr>
              <w:t>celowości zwolnienia z opłat za udzielanie informacji oraz wydawanie odpisów i zaświadczeń z Centralnej informacji o zastawach rejestrowych wymaga</w:t>
            </w:r>
            <w:r w:rsidR="00F712AC">
              <w:rPr>
                <w:rFonts w:asciiTheme="minorHAnsi" w:hAnsiTheme="minorHAnsi" w:cstheme="minorHAnsi"/>
                <w:sz w:val="22"/>
                <w:szCs w:val="22"/>
              </w:rPr>
              <w:t xml:space="preserve"> </w:t>
            </w:r>
            <w:r>
              <w:rPr>
                <w:rFonts w:asciiTheme="minorHAnsi" w:hAnsiTheme="minorHAnsi" w:cstheme="minorHAnsi"/>
                <w:sz w:val="22"/>
                <w:szCs w:val="22"/>
              </w:rPr>
              <w:t xml:space="preserve">projektowana </w:t>
            </w:r>
            <w:r w:rsidRPr="00A12CF0">
              <w:rPr>
                <w:rFonts w:asciiTheme="minorHAnsi" w:hAnsiTheme="minorHAnsi" w:cstheme="minorHAnsi"/>
                <w:sz w:val="22"/>
                <w:szCs w:val="22"/>
              </w:rPr>
              <w:t>zmian</w:t>
            </w:r>
            <w:r>
              <w:rPr>
                <w:rFonts w:asciiTheme="minorHAnsi" w:hAnsiTheme="minorHAnsi" w:cstheme="minorHAnsi"/>
                <w:sz w:val="22"/>
                <w:szCs w:val="22"/>
              </w:rPr>
              <w:t>a</w:t>
            </w:r>
            <w:r w:rsidRPr="00A12CF0">
              <w:rPr>
                <w:rFonts w:asciiTheme="minorHAnsi" w:hAnsiTheme="minorHAnsi" w:cstheme="minorHAnsi"/>
                <w:sz w:val="22"/>
                <w:szCs w:val="22"/>
              </w:rPr>
              <w:t xml:space="preserve"> w </w:t>
            </w:r>
            <w:r>
              <w:rPr>
                <w:rFonts w:asciiTheme="minorHAnsi" w:hAnsiTheme="minorHAnsi" w:cstheme="minorHAnsi"/>
                <w:sz w:val="22"/>
                <w:szCs w:val="22"/>
              </w:rPr>
              <w:t xml:space="preserve">ustawie </w:t>
            </w:r>
            <w:r w:rsidRPr="00A12CF0">
              <w:rPr>
                <w:rFonts w:asciiTheme="minorHAnsi" w:hAnsiTheme="minorHAnsi" w:cstheme="minorHAnsi"/>
                <w:sz w:val="22"/>
                <w:szCs w:val="22"/>
              </w:rPr>
              <w:t xml:space="preserve">z dnia 6 grudnia 1996 r o zastawie rejestrowym i rejestrze zastawów </w:t>
            </w:r>
            <w:r>
              <w:rPr>
                <w:rFonts w:asciiTheme="minorHAnsi" w:hAnsiTheme="minorHAnsi" w:cstheme="minorHAnsi"/>
                <w:sz w:val="22"/>
                <w:szCs w:val="22"/>
              </w:rPr>
              <w:t xml:space="preserve">(dodany ust. 4c). </w:t>
            </w:r>
            <w:r w:rsidR="00E73FF3">
              <w:rPr>
                <w:rFonts w:asciiTheme="minorHAnsi" w:hAnsiTheme="minorHAnsi" w:cstheme="minorHAnsi"/>
                <w:sz w:val="22"/>
                <w:szCs w:val="22"/>
              </w:rPr>
              <w:t xml:space="preserve">Polski Instytut Ekonomiczny, zgodnie z </w:t>
            </w:r>
            <w:r w:rsidR="00F712AC">
              <w:rPr>
                <w:rFonts w:asciiTheme="minorHAnsi" w:hAnsiTheme="minorHAnsi" w:cstheme="minorHAnsi"/>
                <w:sz w:val="22"/>
                <w:szCs w:val="22"/>
              </w:rPr>
              <w:t>a</w:t>
            </w:r>
            <w:r w:rsidR="00F712AC" w:rsidRPr="00F712AC">
              <w:rPr>
                <w:rFonts w:asciiTheme="minorHAnsi" w:hAnsiTheme="minorHAnsi" w:cstheme="minorHAnsi"/>
                <w:sz w:val="22"/>
                <w:szCs w:val="22"/>
              </w:rPr>
              <w:t xml:space="preserve">rt. 18 </w:t>
            </w:r>
            <w:r w:rsidR="00F712AC">
              <w:rPr>
                <w:rFonts w:asciiTheme="minorHAnsi" w:hAnsiTheme="minorHAnsi" w:cstheme="minorHAnsi"/>
                <w:sz w:val="22"/>
                <w:szCs w:val="22"/>
              </w:rPr>
              <w:t xml:space="preserve">ust. </w:t>
            </w:r>
            <w:r w:rsidR="00F712AC" w:rsidRPr="00F712AC">
              <w:rPr>
                <w:rFonts w:asciiTheme="minorHAnsi" w:hAnsiTheme="minorHAnsi" w:cstheme="minorHAnsi"/>
                <w:sz w:val="22"/>
                <w:szCs w:val="22"/>
              </w:rPr>
              <w:t xml:space="preserve">1 </w:t>
            </w:r>
            <w:r w:rsidR="00746064" w:rsidRPr="00746064">
              <w:rPr>
                <w:rFonts w:asciiTheme="minorHAnsi" w:hAnsiTheme="minorHAnsi" w:cstheme="minorHAnsi"/>
                <w:sz w:val="22"/>
                <w:szCs w:val="22"/>
              </w:rPr>
              <w:t xml:space="preserve">ustawy z dnia 20 lipca 2018 r. o Polskim Instytucie Ekonomicznym </w:t>
            </w:r>
            <w:r w:rsidR="00F712AC">
              <w:rPr>
                <w:rFonts w:asciiTheme="minorHAnsi" w:hAnsiTheme="minorHAnsi" w:cstheme="minorHAnsi"/>
                <w:sz w:val="22"/>
                <w:szCs w:val="22"/>
              </w:rPr>
              <w:lastRenderedPageBreak/>
              <w:t>w</w:t>
            </w:r>
            <w:r w:rsidR="00F712AC" w:rsidRPr="00F712AC">
              <w:rPr>
                <w:rFonts w:asciiTheme="minorHAnsi" w:hAnsiTheme="minorHAnsi" w:cstheme="minorHAnsi"/>
                <w:sz w:val="22"/>
                <w:szCs w:val="22"/>
              </w:rPr>
              <w:t xml:space="preserve"> zakresie niezbędnym do należytego wykonywania zadań określonych w art. 3 </w:t>
            </w:r>
            <w:r w:rsidR="00F712AC" w:rsidRPr="00F712AC">
              <w:rPr>
                <w:rFonts w:asciiTheme="minorHAnsi" w:hAnsiTheme="minorHAnsi" w:cstheme="minorHAnsi"/>
                <w:sz w:val="22"/>
                <w:szCs w:val="22"/>
                <w:u w:val="single"/>
              </w:rPr>
              <w:t>może prowadzić działalność gospodarczą</w:t>
            </w:r>
            <w:r w:rsidR="00F712AC" w:rsidRPr="00F712AC">
              <w:rPr>
                <w:rFonts w:asciiTheme="minorHAnsi" w:hAnsiTheme="minorHAnsi" w:cstheme="minorHAnsi"/>
                <w:sz w:val="22"/>
                <w:szCs w:val="22"/>
              </w:rPr>
              <w:t xml:space="preserve"> w zakresie realizacji tych zadań, w szczególności przez komercjalizację wyników prowadzonych badań oraz działalność wydawniczą, szkoleniową i wynajem pomieszczeń i biur.</w:t>
            </w:r>
          </w:p>
        </w:tc>
        <w:tc>
          <w:tcPr>
            <w:tcW w:w="2552" w:type="dxa"/>
            <w:shd w:val="clear" w:color="auto" w:fill="auto"/>
          </w:tcPr>
          <w:p w:rsidR="006976D6" w:rsidRPr="00A06425" w:rsidRDefault="006976D6" w:rsidP="004D086F">
            <w:pPr>
              <w:jc w:val="center"/>
              <w:rPr>
                <w:rFonts w:asciiTheme="minorHAnsi" w:hAnsiTheme="minorHAnsi" w:cstheme="minorHAnsi"/>
                <w:sz w:val="22"/>
                <w:szCs w:val="22"/>
              </w:rPr>
            </w:pPr>
          </w:p>
        </w:tc>
        <w:tc>
          <w:tcPr>
            <w:tcW w:w="1359" w:type="dxa"/>
          </w:tcPr>
          <w:p w:rsidR="006976D6" w:rsidRPr="00A06425" w:rsidRDefault="006976D6"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6</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14402B" w:rsidP="004D086F">
            <w:pPr>
              <w:jc w:val="center"/>
              <w:rPr>
                <w:rFonts w:asciiTheme="minorHAnsi" w:hAnsiTheme="minorHAnsi" w:cstheme="minorHAnsi"/>
                <w:sz w:val="22"/>
                <w:szCs w:val="22"/>
              </w:rPr>
            </w:pPr>
            <w:r>
              <w:rPr>
                <w:rFonts w:asciiTheme="minorHAnsi" w:hAnsiTheme="minorHAnsi" w:cstheme="minorHAnsi"/>
                <w:sz w:val="22"/>
                <w:szCs w:val="22"/>
              </w:rPr>
              <w:t>Art. 8</w:t>
            </w:r>
          </w:p>
        </w:tc>
        <w:tc>
          <w:tcPr>
            <w:tcW w:w="7938" w:type="dxa"/>
            <w:shd w:val="clear" w:color="auto" w:fill="auto"/>
          </w:tcPr>
          <w:p w:rsidR="00BB3C30" w:rsidRPr="00A06425" w:rsidRDefault="00FE4D4B" w:rsidP="0014402B">
            <w:pPr>
              <w:jc w:val="both"/>
              <w:rPr>
                <w:rFonts w:asciiTheme="minorHAnsi" w:hAnsiTheme="minorHAnsi" w:cstheme="minorHAnsi"/>
                <w:sz w:val="22"/>
                <w:szCs w:val="22"/>
              </w:rPr>
            </w:pPr>
            <w:r>
              <w:rPr>
                <w:rFonts w:asciiTheme="minorHAnsi" w:hAnsiTheme="minorHAnsi" w:cstheme="minorHAnsi"/>
                <w:sz w:val="22"/>
                <w:szCs w:val="22"/>
              </w:rPr>
              <w:t>W przypadku nowelizacji ustawy</w:t>
            </w:r>
            <w:r w:rsidR="0014402B" w:rsidRPr="0014402B">
              <w:rPr>
                <w:rFonts w:asciiTheme="minorHAnsi" w:hAnsiTheme="minorHAnsi" w:cstheme="minorHAnsi"/>
                <w:sz w:val="22"/>
                <w:szCs w:val="22"/>
              </w:rPr>
              <w:t xml:space="preserve"> z dnia 20 sierpnia 1997 r. o Krajowym Rejestrze Sądowym</w:t>
            </w:r>
            <w:r>
              <w:rPr>
                <w:rFonts w:asciiTheme="minorHAnsi" w:hAnsiTheme="minorHAnsi" w:cstheme="minorHAnsi"/>
                <w:sz w:val="22"/>
                <w:szCs w:val="22"/>
              </w:rPr>
              <w:t xml:space="preserve"> wyjaśnienia wymaga charakter decyzji, o której mowa w dodawanym art. 4 ust. 4d tej ustawy. Wskazać bowiem należy, że w przepisach ust. 4h oraz ust. 4i doprecyzowano, że Minister Sprawiedliwości odmawia zgody bądź cofa zgodę w drodze decyzji administracyjnej. </w:t>
            </w: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7</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0C1DC5" w:rsidP="004D086F">
            <w:pPr>
              <w:jc w:val="center"/>
              <w:rPr>
                <w:rFonts w:asciiTheme="minorHAnsi" w:hAnsiTheme="minorHAnsi" w:cstheme="minorHAnsi"/>
                <w:sz w:val="22"/>
                <w:szCs w:val="22"/>
              </w:rPr>
            </w:pPr>
            <w:r>
              <w:rPr>
                <w:rFonts w:asciiTheme="minorHAnsi" w:hAnsiTheme="minorHAnsi" w:cstheme="minorHAnsi"/>
                <w:sz w:val="22"/>
                <w:szCs w:val="22"/>
              </w:rPr>
              <w:t>Art. 9</w:t>
            </w:r>
          </w:p>
        </w:tc>
        <w:tc>
          <w:tcPr>
            <w:tcW w:w="7938" w:type="dxa"/>
            <w:shd w:val="clear" w:color="auto" w:fill="auto"/>
          </w:tcPr>
          <w:p w:rsidR="00BB3C30" w:rsidRPr="00A06425" w:rsidRDefault="000C1DC5" w:rsidP="000C1DC5">
            <w:pPr>
              <w:jc w:val="both"/>
              <w:rPr>
                <w:rFonts w:asciiTheme="minorHAnsi" w:hAnsiTheme="minorHAnsi" w:cstheme="minorHAnsi"/>
                <w:sz w:val="22"/>
                <w:szCs w:val="22"/>
              </w:rPr>
            </w:pPr>
            <w:r>
              <w:rPr>
                <w:rFonts w:asciiTheme="minorHAnsi" w:hAnsiTheme="minorHAnsi" w:cstheme="minorHAnsi"/>
                <w:sz w:val="22"/>
                <w:szCs w:val="22"/>
              </w:rPr>
              <w:t>Proponuje się doprecyzowa</w:t>
            </w:r>
            <w:r w:rsidR="00D84358">
              <w:rPr>
                <w:rFonts w:asciiTheme="minorHAnsi" w:hAnsiTheme="minorHAnsi" w:cstheme="minorHAnsi"/>
                <w:sz w:val="22"/>
                <w:szCs w:val="22"/>
              </w:rPr>
              <w:t>nie</w:t>
            </w:r>
            <w:r>
              <w:rPr>
                <w:rFonts w:asciiTheme="minorHAnsi" w:hAnsiTheme="minorHAnsi" w:cstheme="minorHAnsi"/>
                <w:sz w:val="22"/>
                <w:szCs w:val="22"/>
              </w:rPr>
              <w:t xml:space="preserve"> przepis</w:t>
            </w:r>
            <w:r w:rsidR="00D84358">
              <w:rPr>
                <w:rFonts w:asciiTheme="minorHAnsi" w:hAnsiTheme="minorHAnsi" w:cstheme="minorHAnsi"/>
                <w:sz w:val="22"/>
                <w:szCs w:val="22"/>
              </w:rPr>
              <w:t>u</w:t>
            </w:r>
            <w:r>
              <w:rPr>
                <w:rFonts w:asciiTheme="minorHAnsi" w:hAnsiTheme="minorHAnsi" w:cstheme="minorHAnsi"/>
                <w:sz w:val="22"/>
                <w:szCs w:val="22"/>
              </w:rPr>
              <w:t xml:space="preserve"> </w:t>
            </w:r>
            <w:r w:rsidR="006D1ACB">
              <w:rPr>
                <w:rFonts w:asciiTheme="minorHAnsi" w:hAnsiTheme="minorHAnsi" w:cstheme="minorHAnsi"/>
                <w:sz w:val="22"/>
                <w:szCs w:val="22"/>
              </w:rPr>
              <w:t>a</w:t>
            </w:r>
            <w:r w:rsidR="006D1ACB" w:rsidRPr="000C1DC5">
              <w:rPr>
                <w:rFonts w:asciiTheme="minorHAnsi" w:hAnsiTheme="minorHAnsi" w:cstheme="minorHAnsi"/>
                <w:sz w:val="22"/>
                <w:szCs w:val="22"/>
              </w:rPr>
              <w:t>rt. 156</w:t>
            </w:r>
            <w:r w:rsidR="006D1ACB">
              <w:rPr>
                <w:rFonts w:asciiTheme="minorHAnsi" w:hAnsiTheme="minorHAnsi" w:cstheme="minorHAnsi"/>
                <w:sz w:val="22"/>
                <w:szCs w:val="22"/>
              </w:rPr>
              <w:t xml:space="preserve"> ust. 1 zdanie drugie </w:t>
            </w:r>
            <w:r w:rsidR="00D84358" w:rsidRPr="00D84358">
              <w:rPr>
                <w:rFonts w:asciiTheme="minorHAnsi" w:hAnsiTheme="minorHAnsi" w:cstheme="minorHAnsi"/>
                <w:sz w:val="22"/>
                <w:szCs w:val="22"/>
              </w:rPr>
              <w:t>ustaw</w:t>
            </w:r>
            <w:r w:rsidR="00D84358">
              <w:rPr>
                <w:rFonts w:asciiTheme="minorHAnsi" w:hAnsiTheme="minorHAnsi" w:cstheme="minorHAnsi"/>
                <w:sz w:val="22"/>
                <w:szCs w:val="22"/>
              </w:rPr>
              <w:t>y</w:t>
            </w:r>
            <w:r w:rsidR="00D84358" w:rsidRPr="00D84358">
              <w:rPr>
                <w:rFonts w:asciiTheme="minorHAnsi" w:hAnsiTheme="minorHAnsi" w:cstheme="minorHAnsi"/>
                <w:sz w:val="22"/>
                <w:szCs w:val="22"/>
              </w:rPr>
              <w:t xml:space="preserve"> z dnia 21 sierpnia 1997 r. o gospodarce nieruchomościami </w:t>
            </w:r>
            <w:r w:rsidR="006D1ACB">
              <w:rPr>
                <w:rFonts w:asciiTheme="minorHAnsi" w:hAnsiTheme="minorHAnsi" w:cstheme="minorHAnsi"/>
                <w:sz w:val="22"/>
                <w:szCs w:val="22"/>
              </w:rPr>
              <w:t>przez</w:t>
            </w:r>
            <w:r>
              <w:rPr>
                <w:rFonts w:asciiTheme="minorHAnsi" w:hAnsiTheme="minorHAnsi" w:cstheme="minorHAnsi"/>
                <w:sz w:val="22"/>
                <w:szCs w:val="22"/>
              </w:rPr>
              <w:t xml:space="preserve"> dodanie </w:t>
            </w:r>
            <w:r w:rsidR="006D1ACB">
              <w:rPr>
                <w:rFonts w:asciiTheme="minorHAnsi" w:hAnsiTheme="minorHAnsi" w:cstheme="minorHAnsi"/>
                <w:sz w:val="22"/>
                <w:szCs w:val="22"/>
              </w:rPr>
              <w:t xml:space="preserve">regulacji dotyczącej właściwego, dla danej postaci operatu, rodzaju podpisu rzeczoznawcy majątkowego (podpis </w:t>
            </w:r>
            <w:r w:rsidR="006D1ACB" w:rsidRPr="006D1ACB">
              <w:rPr>
                <w:rFonts w:asciiTheme="minorHAnsi" w:hAnsiTheme="minorHAnsi" w:cstheme="minorHAnsi"/>
                <w:sz w:val="22"/>
                <w:szCs w:val="22"/>
              </w:rPr>
              <w:t>własnoręczny, kwalifikowany podpis elektroniczny, podpis zaufany albo podpis osobisty</w:t>
            </w:r>
            <w:r w:rsidR="006D1ACB">
              <w:rPr>
                <w:rFonts w:asciiTheme="minorHAnsi" w:hAnsiTheme="minorHAnsi" w:cstheme="minorHAnsi"/>
                <w:sz w:val="22"/>
                <w:szCs w:val="22"/>
              </w:rPr>
              <w:t>).</w:t>
            </w: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8</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CE7819" w:rsidP="004D086F">
            <w:pPr>
              <w:jc w:val="center"/>
              <w:rPr>
                <w:rFonts w:asciiTheme="minorHAnsi" w:hAnsiTheme="minorHAnsi" w:cstheme="minorHAnsi"/>
                <w:sz w:val="22"/>
                <w:szCs w:val="22"/>
              </w:rPr>
            </w:pPr>
            <w:r>
              <w:rPr>
                <w:rFonts w:asciiTheme="minorHAnsi" w:hAnsiTheme="minorHAnsi" w:cstheme="minorHAnsi"/>
                <w:sz w:val="22"/>
                <w:szCs w:val="22"/>
              </w:rPr>
              <w:t>Art. 10</w:t>
            </w:r>
          </w:p>
        </w:tc>
        <w:tc>
          <w:tcPr>
            <w:tcW w:w="7938" w:type="dxa"/>
            <w:shd w:val="clear" w:color="auto" w:fill="auto"/>
          </w:tcPr>
          <w:p w:rsidR="00CE7819" w:rsidRPr="00CE7819" w:rsidRDefault="00CE7819" w:rsidP="00CE7819">
            <w:pPr>
              <w:jc w:val="both"/>
              <w:rPr>
                <w:rFonts w:asciiTheme="minorHAnsi" w:hAnsiTheme="minorHAnsi" w:cstheme="minorHAnsi"/>
                <w:sz w:val="22"/>
                <w:szCs w:val="22"/>
              </w:rPr>
            </w:pPr>
            <w:r>
              <w:rPr>
                <w:rFonts w:asciiTheme="minorHAnsi" w:hAnsiTheme="minorHAnsi" w:cstheme="minorHAnsi"/>
                <w:sz w:val="22"/>
                <w:szCs w:val="22"/>
              </w:rPr>
              <w:t xml:space="preserve">Analogicznie jak w przypadku art. 6 projektu </w:t>
            </w:r>
            <w:r w:rsidRPr="00CE7819">
              <w:rPr>
                <w:rFonts w:asciiTheme="minorHAnsi" w:hAnsiTheme="minorHAnsi" w:cstheme="minorHAnsi"/>
                <w:sz w:val="22"/>
                <w:szCs w:val="22"/>
              </w:rPr>
              <w:t>wskazać należy:</w:t>
            </w:r>
          </w:p>
          <w:p w:rsidR="00CE7819" w:rsidRPr="00CE7819" w:rsidRDefault="00CE7819" w:rsidP="00CE7819">
            <w:pPr>
              <w:jc w:val="both"/>
              <w:rPr>
                <w:rFonts w:asciiTheme="minorHAnsi" w:hAnsiTheme="minorHAnsi" w:cstheme="minorHAnsi"/>
                <w:sz w:val="22"/>
                <w:szCs w:val="22"/>
              </w:rPr>
            </w:pPr>
            <w:r w:rsidRPr="00CE7819">
              <w:rPr>
                <w:rFonts w:asciiTheme="minorHAnsi" w:hAnsiTheme="minorHAnsi" w:cstheme="minorHAnsi"/>
                <w:sz w:val="22"/>
                <w:szCs w:val="22"/>
              </w:rPr>
              <w:t xml:space="preserve">1) odesłanie do (także projektowanego) przepisu art. 10 ust. 1 pkt 9a ustawy </w:t>
            </w:r>
            <w:r w:rsidR="00746064" w:rsidRPr="00746064">
              <w:rPr>
                <w:rFonts w:asciiTheme="minorHAnsi" w:hAnsiTheme="minorHAnsi" w:cstheme="minorHAnsi"/>
                <w:sz w:val="22"/>
                <w:szCs w:val="22"/>
              </w:rPr>
              <w:t xml:space="preserve">z dnia 20 lipca 2018 r. </w:t>
            </w:r>
            <w:r w:rsidRPr="00CE7819">
              <w:rPr>
                <w:rFonts w:asciiTheme="minorHAnsi" w:hAnsiTheme="minorHAnsi" w:cstheme="minorHAnsi"/>
                <w:sz w:val="22"/>
                <w:szCs w:val="22"/>
              </w:rPr>
              <w:t>o Polskim Instytucie Ekonomicznym jest niepoprawne. Wskazany przepis dotyczy bowiem zadań i obowiązków Dyrektora Instytutu. Ponadto zadanie to dotyczy sporządzania rocznego planu wykonywania przez Instytut analiz polityk publicznych i nie stanowi podstawy prowadzenia takich analiz;</w:t>
            </w:r>
          </w:p>
          <w:p w:rsidR="00CE7819" w:rsidRPr="00CE7819" w:rsidRDefault="00CE7819" w:rsidP="00CE7819">
            <w:pPr>
              <w:jc w:val="both"/>
              <w:rPr>
                <w:rFonts w:asciiTheme="minorHAnsi" w:hAnsiTheme="minorHAnsi" w:cstheme="minorHAnsi"/>
                <w:sz w:val="22"/>
                <w:szCs w:val="22"/>
              </w:rPr>
            </w:pPr>
            <w:r w:rsidRPr="00CE7819">
              <w:rPr>
                <w:rFonts w:asciiTheme="minorHAnsi" w:hAnsiTheme="minorHAnsi" w:cstheme="minorHAnsi"/>
                <w:sz w:val="22"/>
                <w:szCs w:val="22"/>
              </w:rPr>
              <w:t xml:space="preserve">2) zarówno obecne przepisy ustawy </w:t>
            </w:r>
            <w:r w:rsidR="00746064" w:rsidRPr="00746064">
              <w:rPr>
                <w:rFonts w:asciiTheme="minorHAnsi" w:hAnsiTheme="minorHAnsi" w:cstheme="minorHAnsi"/>
                <w:sz w:val="22"/>
                <w:szCs w:val="22"/>
              </w:rPr>
              <w:t xml:space="preserve">z dnia 20 lipca 2018 r. </w:t>
            </w:r>
            <w:r w:rsidRPr="00CE7819">
              <w:rPr>
                <w:rFonts w:asciiTheme="minorHAnsi" w:hAnsiTheme="minorHAnsi" w:cstheme="minorHAnsi"/>
                <w:sz w:val="22"/>
                <w:szCs w:val="22"/>
              </w:rPr>
              <w:t>o Polskim Instytucie Ekonomicznym, jak i przepisy projektowane, nie wskazują na zadanie Instytutu polegające na analizie polityk publicznych;</w:t>
            </w:r>
          </w:p>
          <w:p w:rsidR="00CE7819" w:rsidRPr="00CE7819" w:rsidRDefault="00CE7819" w:rsidP="00CE7819">
            <w:pPr>
              <w:jc w:val="both"/>
              <w:rPr>
                <w:rFonts w:asciiTheme="minorHAnsi" w:hAnsiTheme="minorHAnsi" w:cstheme="minorHAnsi"/>
                <w:sz w:val="22"/>
                <w:szCs w:val="22"/>
              </w:rPr>
            </w:pPr>
            <w:r w:rsidRPr="00CE7819">
              <w:rPr>
                <w:rFonts w:asciiTheme="minorHAnsi" w:hAnsiTheme="minorHAnsi" w:cstheme="minorHAnsi"/>
                <w:sz w:val="22"/>
                <w:szCs w:val="22"/>
              </w:rPr>
              <w:t>3) projektowany przepis należy doprecyzować o rodzaj przekazywanych danych;</w:t>
            </w:r>
          </w:p>
          <w:p w:rsidR="00BB3C30" w:rsidRPr="00A06425" w:rsidRDefault="00CE7819" w:rsidP="00CE7819">
            <w:pPr>
              <w:jc w:val="both"/>
              <w:rPr>
                <w:rFonts w:asciiTheme="minorHAnsi" w:hAnsiTheme="minorHAnsi" w:cstheme="minorHAnsi"/>
                <w:sz w:val="22"/>
                <w:szCs w:val="22"/>
              </w:rPr>
            </w:pPr>
            <w:r w:rsidRPr="00CE7819">
              <w:rPr>
                <w:rFonts w:asciiTheme="minorHAnsi" w:hAnsiTheme="minorHAnsi" w:cstheme="minorHAnsi"/>
                <w:sz w:val="22"/>
                <w:szCs w:val="22"/>
              </w:rPr>
              <w:t>4) rozważeni</w:t>
            </w:r>
            <w:r w:rsidR="00746064">
              <w:rPr>
                <w:rFonts w:asciiTheme="minorHAnsi" w:hAnsiTheme="minorHAnsi" w:cstheme="minorHAnsi"/>
                <w:sz w:val="22"/>
                <w:szCs w:val="22"/>
              </w:rPr>
              <w:t>a</w:t>
            </w:r>
            <w:r w:rsidRPr="00CE7819">
              <w:rPr>
                <w:rFonts w:asciiTheme="minorHAnsi" w:hAnsiTheme="minorHAnsi" w:cstheme="minorHAnsi"/>
                <w:sz w:val="22"/>
                <w:szCs w:val="22"/>
              </w:rPr>
              <w:t xml:space="preserve"> </w:t>
            </w:r>
            <w:r w:rsidR="00746064">
              <w:rPr>
                <w:rFonts w:asciiTheme="minorHAnsi" w:hAnsiTheme="minorHAnsi" w:cstheme="minorHAnsi"/>
                <w:sz w:val="22"/>
                <w:szCs w:val="22"/>
              </w:rPr>
              <w:t>wymaga doprecyzowanie</w:t>
            </w:r>
            <w:r w:rsidRPr="00CE7819">
              <w:rPr>
                <w:rFonts w:asciiTheme="minorHAnsi" w:hAnsiTheme="minorHAnsi" w:cstheme="minorHAnsi"/>
                <w:sz w:val="22"/>
                <w:szCs w:val="22"/>
              </w:rPr>
              <w:t xml:space="preserve">, że dane udostępnia się także w zakresie określonym przez ustawę </w:t>
            </w:r>
            <w:r w:rsidR="00746064" w:rsidRPr="00746064">
              <w:rPr>
                <w:rFonts w:asciiTheme="minorHAnsi" w:hAnsiTheme="minorHAnsi" w:cstheme="minorHAnsi"/>
                <w:sz w:val="22"/>
                <w:szCs w:val="22"/>
              </w:rPr>
              <w:t xml:space="preserve">z dnia 20 lipca 2018 r. </w:t>
            </w:r>
            <w:r w:rsidRPr="00CE7819">
              <w:rPr>
                <w:rFonts w:asciiTheme="minorHAnsi" w:hAnsiTheme="minorHAnsi" w:cstheme="minorHAnsi"/>
                <w:sz w:val="22"/>
                <w:szCs w:val="22"/>
              </w:rPr>
              <w:t>o Polskim Instytucie Ekonomicznym.</w:t>
            </w: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9</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AE6FF1" w:rsidP="004D086F">
            <w:pPr>
              <w:jc w:val="center"/>
              <w:rPr>
                <w:rFonts w:asciiTheme="minorHAnsi" w:hAnsiTheme="minorHAnsi" w:cstheme="minorHAnsi"/>
                <w:sz w:val="22"/>
                <w:szCs w:val="22"/>
              </w:rPr>
            </w:pPr>
            <w:r>
              <w:rPr>
                <w:rFonts w:asciiTheme="minorHAnsi" w:hAnsiTheme="minorHAnsi" w:cstheme="minorHAnsi"/>
                <w:sz w:val="22"/>
                <w:szCs w:val="22"/>
              </w:rPr>
              <w:t>Art. 11</w:t>
            </w:r>
          </w:p>
        </w:tc>
        <w:tc>
          <w:tcPr>
            <w:tcW w:w="7938" w:type="dxa"/>
            <w:shd w:val="clear" w:color="auto" w:fill="auto"/>
          </w:tcPr>
          <w:p w:rsidR="00BB3C30" w:rsidRPr="00A06425" w:rsidRDefault="008E3012" w:rsidP="00AE6FF1">
            <w:pPr>
              <w:jc w:val="both"/>
              <w:rPr>
                <w:rFonts w:asciiTheme="minorHAnsi" w:hAnsiTheme="minorHAnsi" w:cstheme="minorHAnsi"/>
                <w:sz w:val="22"/>
                <w:szCs w:val="22"/>
              </w:rPr>
            </w:pPr>
            <w:r>
              <w:rPr>
                <w:rFonts w:asciiTheme="minorHAnsi" w:hAnsiTheme="minorHAnsi" w:cstheme="minorHAnsi"/>
                <w:sz w:val="22"/>
                <w:szCs w:val="22"/>
              </w:rPr>
              <w:t xml:space="preserve">W przypadku art. 168 § 3a </w:t>
            </w:r>
            <w:r w:rsidR="00126D97">
              <w:rPr>
                <w:rFonts w:asciiTheme="minorHAnsi" w:hAnsiTheme="minorHAnsi" w:cstheme="minorHAnsi"/>
                <w:sz w:val="22"/>
                <w:szCs w:val="22"/>
              </w:rPr>
              <w:t xml:space="preserve">ustawy z dnia 29 sierpnia 199r. – Ordynacja podatkowa </w:t>
            </w:r>
            <w:r>
              <w:rPr>
                <w:rFonts w:asciiTheme="minorHAnsi" w:hAnsiTheme="minorHAnsi" w:cstheme="minorHAnsi"/>
                <w:sz w:val="22"/>
                <w:szCs w:val="22"/>
              </w:rPr>
              <w:t>- n</w:t>
            </w:r>
            <w:r w:rsidR="00AE6FF1" w:rsidRPr="00AE6FF1">
              <w:rPr>
                <w:rFonts w:asciiTheme="minorHAnsi" w:hAnsiTheme="minorHAnsi" w:cstheme="minorHAnsi"/>
                <w:sz w:val="22"/>
                <w:szCs w:val="22"/>
              </w:rPr>
              <w:t xml:space="preserve">ależy wskazać dokładnie </w:t>
            </w:r>
            <w:r w:rsidR="0039708D">
              <w:rPr>
                <w:rFonts w:asciiTheme="minorHAnsi" w:hAnsiTheme="minorHAnsi" w:cstheme="minorHAnsi"/>
                <w:sz w:val="22"/>
                <w:szCs w:val="22"/>
              </w:rPr>
              <w:t>które</w:t>
            </w:r>
            <w:r w:rsidR="00AE6FF1" w:rsidRPr="00AE6FF1">
              <w:rPr>
                <w:rFonts w:asciiTheme="minorHAnsi" w:hAnsiTheme="minorHAnsi" w:cstheme="minorHAnsi"/>
                <w:sz w:val="22"/>
                <w:szCs w:val="22"/>
              </w:rPr>
              <w:t xml:space="preserve"> przepisy nakładają obowiązek przesyłania podań w określonym formacie. Przepis dotyczy obowiązku, w ramach procedury </w:t>
            </w:r>
            <w:proofErr w:type="gramStart"/>
            <w:r w:rsidR="00AE6FF1" w:rsidRPr="00AE6FF1">
              <w:rPr>
                <w:rFonts w:asciiTheme="minorHAnsi" w:hAnsiTheme="minorHAnsi" w:cstheme="minorHAnsi"/>
                <w:sz w:val="22"/>
                <w:szCs w:val="22"/>
              </w:rPr>
              <w:t>administracyjnej,</w:t>
            </w:r>
            <w:proofErr w:type="gramEnd"/>
            <w:r w:rsidR="00AE6FF1" w:rsidRPr="00AE6FF1">
              <w:rPr>
                <w:rFonts w:asciiTheme="minorHAnsi" w:hAnsiTheme="minorHAnsi" w:cstheme="minorHAnsi"/>
                <w:sz w:val="22"/>
                <w:szCs w:val="22"/>
              </w:rPr>
              <w:t xml:space="preserve"> </w:t>
            </w:r>
            <w:r>
              <w:rPr>
                <w:rFonts w:asciiTheme="minorHAnsi" w:hAnsiTheme="minorHAnsi" w:cstheme="minorHAnsi"/>
                <w:sz w:val="22"/>
                <w:szCs w:val="22"/>
              </w:rPr>
              <w:t xml:space="preserve">i </w:t>
            </w:r>
            <w:r w:rsidR="00AE6FF1" w:rsidRPr="00AE6FF1">
              <w:rPr>
                <w:rFonts w:asciiTheme="minorHAnsi" w:hAnsiTheme="minorHAnsi" w:cstheme="minorHAnsi"/>
                <w:sz w:val="22"/>
                <w:szCs w:val="22"/>
              </w:rPr>
              <w:t>powinien być jednoznaczny. Odesłania nie wskazują o jakie przepisy chodzi.</w:t>
            </w: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6976D6" w:rsidRPr="00A06425" w:rsidTr="006976D6">
        <w:tc>
          <w:tcPr>
            <w:tcW w:w="562" w:type="dxa"/>
            <w:shd w:val="clear" w:color="auto" w:fill="auto"/>
          </w:tcPr>
          <w:p w:rsidR="006976D6"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10</w:t>
            </w:r>
          </w:p>
        </w:tc>
        <w:tc>
          <w:tcPr>
            <w:tcW w:w="1134" w:type="dxa"/>
            <w:shd w:val="clear" w:color="auto" w:fill="auto"/>
          </w:tcPr>
          <w:p w:rsidR="006976D6" w:rsidRPr="00A06425" w:rsidRDefault="006976D6" w:rsidP="004D086F">
            <w:pPr>
              <w:spacing w:before="60" w:after="60"/>
              <w:jc w:val="center"/>
              <w:rPr>
                <w:rFonts w:asciiTheme="minorHAnsi" w:hAnsiTheme="minorHAnsi" w:cstheme="minorHAnsi"/>
                <w:b/>
                <w:sz w:val="22"/>
                <w:szCs w:val="22"/>
              </w:rPr>
            </w:pPr>
          </w:p>
        </w:tc>
        <w:tc>
          <w:tcPr>
            <w:tcW w:w="1843" w:type="dxa"/>
            <w:shd w:val="clear" w:color="auto" w:fill="auto"/>
          </w:tcPr>
          <w:p w:rsidR="006976D6" w:rsidRPr="00A06425" w:rsidRDefault="00477726" w:rsidP="004D086F">
            <w:pPr>
              <w:jc w:val="center"/>
              <w:rPr>
                <w:rFonts w:asciiTheme="minorHAnsi" w:hAnsiTheme="minorHAnsi" w:cstheme="minorHAnsi"/>
                <w:sz w:val="22"/>
                <w:szCs w:val="22"/>
              </w:rPr>
            </w:pPr>
            <w:r>
              <w:rPr>
                <w:rFonts w:asciiTheme="minorHAnsi" w:hAnsiTheme="minorHAnsi" w:cstheme="minorHAnsi"/>
                <w:sz w:val="22"/>
                <w:szCs w:val="22"/>
              </w:rPr>
              <w:t>Art. 12</w:t>
            </w:r>
          </w:p>
        </w:tc>
        <w:tc>
          <w:tcPr>
            <w:tcW w:w="7938" w:type="dxa"/>
            <w:shd w:val="clear" w:color="auto" w:fill="auto"/>
          </w:tcPr>
          <w:p w:rsidR="006976D6" w:rsidRPr="00A06425" w:rsidRDefault="00126D97" w:rsidP="00477726">
            <w:pPr>
              <w:jc w:val="both"/>
              <w:rPr>
                <w:rFonts w:asciiTheme="minorHAnsi" w:hAnsiTheme="minorHAnsi" w:cstheme="minorHAnsi"/>
                <w:sz w:val="22"/>
                <w:szCs w:val="22"/>
              </w:rPr>
            </w:pPr>
            <w:r>
              <w:rPr>
                <w:rFonts w:asciiTheme="minorHAnsi" w:hAnsiTheme="minorHAnsi" w:cstheme="minorHAnsi"/>
                <w:sz w:val="22"/>
                <w:szCs w:val="22"/>
              </w:rPr>
              <w:t>Odnośnie do projektowanej nowelizacji</w:t>
            </w:r>
            <w:r w:rsidR="00477726">
              <w:rPr>
                <w:rFonts w:asciiTheme="minorHAnsi" w:hAnsiTheme="minorHAnsi" w:cstheme="minorHAnsi"/>
                <w:sz w:val="22"/>
                <w:szCs w:val="22"/>
              </w:rPr>
              <w:t xml:space="preserve"> </w:t>
            </w:r>
            <w:r w:rsidR="00477726" w:rsidRPr="00477726">
              <w:rPr>
                <w:rFonts w:asciiTheme="minorHAnsi" w:hAnsiTheme="minorHAnsi" w:cstheme="minorHAnsi"/>
                <w:sz w:val="22"/>
                <w:szCs w:val="22"/>
              </w:rPr>
              <w:t>ustaw</w:t>
            </w:r>
            <w:r w:rsidR="00477726">
              <w:rPr>
                <w:rFonts w:asciiTheme="minorHAnsi" w:hAnsiTheme="minorHAnsi" w:cstheme="minorHAnsi"/>
                <w:sz w:val="22"/>
                <w:szCs w:val="22"/>
              </w:rPr>
              <w:t>y</w:t>
            </w:r>
            <w:r w:rsidR="00477726" w:rsidRPr="00477726">
              <w:rPr>
                <w:rFonts w:asciiTheme="minorHAnsi" w:hAnsiTheme="minorHAnsi" w:cstheme="minorHAnsi"/>
                <w:sz w:val="22"/>
                <w:szCs w:val="22"/>
              </w:rPr>
              <w:t xml:space="preserve"> z dnia 13 października 1998 r. o systemie ubezpieczeń społecznych</w:t>
            </w:r>
            <w:r w:rsidR="00477726">
              <w:rPr>
                <w:rFonts w:asciiTheme="minorHAnsi" w:hAnsiTheme="minorHAnsi" w:cstheme="minorHAnsi"/>
                <w:sz w:val="22"/>
                <w:szCs w:val="22"/>
              </w:rPr>
              <w:t xml:space="preserve"> – uwagi ja</w:t>
            </w:r>
            <w:r w:rsidR="00D46727">
              <w:rPr>
                <w:rFonts w:asciiTheme="minorHAnsi" w:hAnsiTheme="minorHAnsi" w:cstheme="minorHAnsi"/>
                <w:sz w:val="22"/>
                <w:szCs w:val="22"/>
              </w:rPr>
              <w:t>k</w:t>
            </w:r>
            <w:r w:rsidR="00477726">
              <w:rPr>
                <w:rFonts w:asciiTheme="minorHAnsi" w:hAnsiTheme="minorHAnsi" w:cstheme="minorHAnsi"/>
                <w:sz w:val="22"/>
                <w:szCs w:val="22"/>
              </w:rPr>
              <w:t xml:space="preserve"> w przypadku ustaw nowelizowanych w art. 6 </w:t>
            </w:r>
            <w:r w:rsidR="00D46727">
              <w:rPr>
                <w:rFonts w:asciiTheme="minorHAnsi" w:hAnsiTheme="minorHAnsi" w:cstheme="minorHAnsi"/>
                <w:sz w:val="22"/>
                <w:szCs w:val="22"/>
              </w:rPr>
              <w:t>i</w:t>
            </w:r>
            <w:r w:rsidR="00477726">
              <w:rPr>
                <w:rFonts w:asciiTheme="minorHAnsi" w:hAnsiTheme="minorHAnsi" w:cstheme="minorHAnsi"/>
                <w:sz w:val="22"/>
                <w:szCs w:val="22"/>
              </w:rPr>
              <w:t xml:space="preserve"> art. 10</w:t>
            </w:r>
            <w:r w:rsidR="00D46727">
              <w:rPr>
                <w:rFonts w:asciiTheme="minorHAnsi" w:hAnsiTheme="minorHAnsi" w:cstheme="minorHAnsi"/>
                <w:sz w:val="22"/>
                <w:szCs w:val="22"/>
              </w:rPr>
              <w:t xml:space="preserve"> projektu</w:t>
            </w:r>
            <w:r w:rsidR="00477726">
              <w:rPr>
                <w:rFonts w:asciiTheme="minorHAnsi" w:hAnsiTheme="minorHAnsi" w:cstheme="minorHAnsi"/>
                <w:sz w:val="22"/>
                <w:szCs w:val="22"/>
              </w:rPr>
              <w:t>. Dodatkowo wskazać należy, że w art. 33 ust. 1 ww. ustawy znajduje się przepis pkt 7 odsyłającego do „</w:t>
            </w:r>
            <w:r w:rsidR="00477726" w:rsidRPr="00D46727">
              <w:rPr>
                <w:rFonts w:asciiTheme="minorHAnsi" w:hAnsiTheme="minorHAnsi" w:cstheme="minorHAnsi"/>
                <w:i/>
                <w:sz w:val="22"/>
                <w:szCs w:val="22"/>
              </w:rPr>
              <w:t>innych rejestrów niezbędnych do realizacji zadań określonych odrębnymi przepisami</w:t>
            </w:r>
            <w:r w:rsidR="00477726" w:rsidRPr="00477726">
              <w:rPr>
                <w:rFonts w:asciiTheme="minorHAnsi" w:hAnsiTheme="minorHAnsi" w:cstheme="minorHAnsi"/>
                <w:sz w:val="22"/>
                <w:szCs w:val="22"/>
              </w:rPr>
              <w:t>;</w:t>
            </w:r>
            <w:r w:rsidR="00477726">
              <w:rPr>
                <w:rFonts w:asciiTheme="minorHAnsi" w:hAnsiTheme="minorHAnsi" w:cstheme="minorHAnsi"/>
                <w:sz w:val="22"/>
                <w:szCs w:val="22"/>
              </w:rPr>
              <w:t xml:space="preserve">”. Mając na uwadze, </w:t>
            </w:r>
            <w:r>
              <w:rPr>
                <w:rFonts w:asciiTheme="minorHAnsi" w:hAnsiTheme="minorHAnsi" w:cstheme="minorHAnsi"/>
                <w:sz w:val="22"/>
                <w:szCs w:val="22"/>
              </w:rPr>
              <w:t>ż</w:t>
            </w:r>
            <w:r w:rsidR="00477726">
              <w:rPr>
                <w:rFonts w:asciiTheme="minorHAnsi" w:hAnsiTheme="minorHAnsi" w:cstheme="minorHAnsi"/>
                <w:sz w:val="22"/>
                <w:szCs w:val="22"/>
              </w:rPr>
              <w:t xml:space="preserve">e projektowana zmiana ww. ustawy wprowadza normę nakazującą udostępnianie danych z </w:t>
            </w:r>
            <w:r w:rsidR="00D46727">
              <w:rPr>
                <w:rFonts w:asciiTheme="minorHAnsi" w:hAnsiTheme="minorHAnsi" w:cstheme="minorHAnsi"/>
                <w:sz w:val="22"/>
                <w:szCs w:val="22"/>
              </w:rPr>
              <w:t xml:space="preserve">kont i </w:t>
            </w:r>
            <w:r w:rsidR="00477726">
              <w:rPr>
                <w:rFonts w:asciiTheme="minorHAnsi" w:hAnsiTheme="minorHAnsi" w:cstheme="minorHAnsi"/>
                <w:sz w:val="22"/>
                <w:szCs w:val="22"/>
              </w:rPr>
              <w:t xml:space="preserve">rejestrów, o których mowa w ust. 1 – odsyłamy do bliżej nieokreślonych danych, których nie można </w:t>
            </w:r>
            <w:r w:rsidR="00477726">
              <w:rPr>
                <w:rFonts w:asciiTheme="minorHAnsi" w:hAnsiTheme="minorHAnsi" w:cstheme="minorHAnsi"/>
                <w:sz w:val="22"/>
                <w:szCs w:val="22"/>
              </w:rPr>
              <w:lastRenderedPageBreak/>
              <w:t>zidentyfikować</w:t>
            </w:r>
            <w:r w:rsidR="00D46727">
              <w:rPr>
                <w:rFonts w:asciiTheme="minorHAnsi" w:hAnsiTheme="minorHAnsi" w:cstheme="minorHAnsi"/>
                <w:sz w:val="22"/>
                <w:szCs w:val="22"/>
              </w:rPr>
              <w:t xml:space="preserve"> (pkt 7)</w:t>
            </w:r>
            <w:r w:rsidR="00477726">
              <w:rPr>
                <w:rFonts w:asciiTheme="minorHAnsi" w:hAnsiTheme="minorHAnsi" w:cstheme="minorHAnsi"/>
                <w:sz w:val="22"/>
                <w:szCs w:val="22"/>
              </w:rPr>
              <w:t xml:space="preserve">. Proponuje się doprecyzowanie przepisu o wskazanie konkretnych rejestrów bądź odesłanie jedynie do danych z kont i rejestrów, o których mowa w ust. 1 pkt </w:t>
            </w:r>
            <w:r w:rsidR="00685726">
              <w:rPr>
                <w:rFonts w:asciiTheme="minorHAnsi" w:hAnsiTheme="minorHAnsi" w:cstheme="minorHAnsi"/>
                <w:sz w:val="22"/>
                <w:szCs w:val="22"/>
              </w:rPr>
              <w:t xml:space="preserve">1-5. </w:t>
            </w:r>
          </w:p>
        </w:tc>
        <w:tc>
          <w:tcPr>
            <w:tcW w:w="2552" w:type="dxa"/>
            <w:shd w:val="clear" w:color="auto" w:fill="auto"/>
          </w:tcPr>
          <w:p w:rsidR="006976D6" w:rsidRPr="00A06425" w:rsidRDefault="006976D6" w:rsidP="004D086F">
            <w:pPr>
              <w:jc w:val="center"/>
              <w:rPr>
                <w:rFonts w:asciiTheme="minorHAnsi" w:hAnsiTheme="minorHAnsi" w:cstheme="minorHAnsi"/>
                <w:sz w:val="22"/>
                <w:szCs w:val="22"/>
              </w:rPr>
            </w:pPr>
          </w:p>
        </w:tc>
        <w:tc>
          <w:tcPr>
            <w:tcW w:w="1359" w:type="dxa"/>
          </w:tcPr>
          <w:p w:rsidR="006976D6" w:rsidRPr="00A06425" w:rsidRDefault="006976D6"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11</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ED7B7D" w:rsidP="004D086F">
            <w:pPr>
              <w:jc w:val="center"/>
              <w:rPr>
                <w:rFonts w:asciiTheme="minorHAnsi" w:hAnsiTheme="minorHAnsi" w:cstheme="minorHAnsi"/>
                <w:sz w:val="22"/>
                <w:szCs w:val="22"/>
              </w:rPr>
            </w:pPr>
            <w:r>
              <w:rPr>
                <w:rFonts w:asciiTheme="minorHAnsi" w:hAnsiTheme="minorHAnsi" w:cstheme="minorHAnsi"/>
                <w:sz w:val="22"/>
                <w:szCs w:val="22"/>
              </w:rPr>
              <w:t>Art. 14, art. 15, art. 16</w:t>
            </w:r>
            <w:r w:rsidR="002F06B2">
              <w:rPr>
                <w:rFonts w:asciiTheme="minorHAnsi" w:hAnsiTheme="minorHAnsi" w:cstheme="minorHAnsi"/>
                <w:sz w:val="22"/>
                <w:szCs w:val="22"/>
              </w:rPr>
              <w:t>,</w:t>
            </w:r>
            <w:r>
              <w:rPr>
                <w:rFonts w:asciiTheme="minorHAnsi" w:hAnsiTheme="minorHAnsi" w:cstheme="minorHAnsi"/>
                <w:sz w:val="22"/>
                <w:szCs w:val="22"/>
              </w:rPr>
              <w:t xml:space="preserve"> art. 17</w:t>
            </w:r>
            <w:r w:rsidR="002664F0">
              <w:rPr>
                <w:rFonts w:asciiTheme="minorHAnsi" w:hAnsiTheme="minorHAnsi" w:cstheme="minorHAnsi"/>
                <w:sz w:val="22"/>
                <w:szCs w:val="22"/>
              </w:rPr>
              <w:t>, art. 21</w:t>
            </w:r>
            <w:r w:rsidR="00F21BFE">
              <w:rPr>
                <w:rFonts w:asciiTheme="minorHAnsi" w:hAnsiTheme="minorHAnsi" w:cstheme="minorHAnsi"/>
                <w:sz w:val="22"/>
                <w:szCs w:val="22"/>
              </w:rPr>
              <w:t>, art. 22 pkt 11 (w zakresie art. 68b)</w:t>
            </w:r>
            <w:r w:rsidR="00AA0B21">
              <w:rPr>
                <w:rFonts w:asciiTheme="minorHAnsi" w:hAnsiTheme="minorHAnsi" w:cstheme="minorHAnsi"/>
                <w:sz w:val="22"/>
                <w:szCs w:val="22"/>
              </w:rPr>
              <w:t>, art. 25, art. 26</w:t>
            </w:r>
            <w:r w:rsidR="00030915">
              <w:rPr>
                <w:rFonts w:asciiTheme="minorHAnsi" w:hAnsiTheme="minorHAnsi" w:cstheme="minorHAnsi"/>
                <w:sz w:val="22"/>
                <w:szCs w:val="22"/>
              </w:rPr>
              <w:t xml:space="preserve">, art. 27 </w:t>
            </w:r>
            <w:r w:rsidR="00CB5223">
              <w:rPr>
                <w:rFonts w:asciiTheme="minorHAnsi" w:hAnsiTheme="minorHAnsi" w:cstheme="minorHAnsi"/>
                <w:sz w:val="22"/>
                <w:szCs w:val="22"/>
              </w:rPr>
              <w:t>pkt 2 (w zakresie dodawanego art. 5b)</w:t>
            </w:r>
            <w:r w:rsidR="00B11FCA">
              <w:rPr>
                <w:rFonts w:asciiTheme="minorHAnsi" w:hAnsiTheme="minorHAnsi" w:cstheme="minorHAnsi"/>
                <w:sz w:val="22"/>
                <w:szCs w:val="22"/>
              </w:rPr>
              <w:t>, art. 28</w:t>
            </w:r>
            <w:r w:rsidR="00BA3271">
              <w:rPr>
                <w:rFonts w:asciiTheme="minorHAnsi" w:hAnsiTheme="minorHAnsi" w:cstheme="minorHAnsi"/>
                <w:sz w:val="22"/>
                <w:szCs w:val="22"/>
              </w:rPr>
              <w:t>, art. 32</w:t>
            </w:r>
            <w:r w:rsidR="00CA36FE">
              <w:rPr>
                <w:rFonts w:asciiTheme="minorHAnsi" w:hAnsiTheme="minorHAnsi" w:cstheme="minorHAnsi"/>
                <w:sz w:val="22"/>
                <w:szCs w:val="22"/>
              </w:rPr>
              <w:t>, art. 33</w:t>
            </w:r>
          </w:p>
        </w:tc>
        <w:tc>
          <w:tcPr>
            <w:tcW w:w="7938" w:type="dxa"/>
            <w:shd w:val="clear" w:color="auto" w:fill="auto"/>
          </w:tcPr>
          <w:p w:rsidR="00C75ADB" w:rsidRDefault="00C75ADB" w:rsidP="00ED7B7D">
            <w:pPr>
              <w:jc w:val="both"/>
              <w:rPr>
                <w:rFonts w:asciiTheme="minorHAnsi" w:hAnsiTheme="minorHAnsi" w:cstheme="minorHAnsi"/>
                <w:sz w:val="22"/>
                <w:szCs w:val="22"/>
              </w:rPr>
            </w:pPr>
            <w:r>
              <w:rPr>
                <w:rFonts w:asciiTheme="minorHAnsi" w:hAnsiTheme="minorHAnsi" w:cstheme="minorHAnsi"/>
                <w:sz w:val="22"/>
                <w:szCs w:val="22"/>
              </w:rPr>
              <w:t>W przypadku:</w:t>
            </w:r>
          </w:p>
          <w:p w:rsidR="00C75ADB" w:rsidRDefault="00C75ADB" w:rsidP="00ED7B7D">
            <w:pPr>
              <w:jc w:val="both"/>
              <w:rPr>
                <w:rFonts w:asciiTheme="minorHAnsi" w:hAnsiTheme="minorHAnsi" w:cstheme="minorHAnsi"/>
                <w:sz w:val="22"/>
                <w:szCs w:val="22"/>
              </w:rPr>
            </w:pPr>
            <w:r>
              <w:rPr>
                <w:rFonts w:asciiTheme="minorHAnsi" w:hAnsiTheme="minorHAnsi" w:cstheme="minorHAnsi"/>
                <w:sz w:val="22"/>
                <w:szCs w:val="22"/>
              </w:rPr>
              <w:t xml:space="preserve">1) </w:t>
            </w:r>
            <w:r w:rsidRPr="00C75ADB">
              <w:rPr>
                <w:rFonts w:asciiTheme="minorHAnsi" w:hAnsiTheme="minorHAnsi" w:cstheme="minorHAnsi"/>
                <w:sz w:val="22"/>
                <w:szCs w:val="22"/>
              </w:rPr>
              <w:t>ustaw</w:t>
            </w:r>
            <w:r>
              <w:rPr>
                <w:rFonts w:asciiTheme="minorHAnsi" w:hAnsiTheme="minorHAnsi" w:cstheme="minorHAnsi"/>
                <w:sz w:val="22"/>
                <w:szCs w:val="22"/>
              </w:rPr>
              <w:t>y</w:t>
            </w:r>
            <w:r w:rsidRPr="00C75ADB">
              <w:rPr>
                <w:rFonts w:asciiTheme="minorHAnsi" w:hAnsiTheme="minorHAnsi" w:cstheme="minorHAnsi"/>
                <w:sz w:val="22"/>
                <w:szCs w:val="22"/>
              </w:rPr>
              <w:t xml:space="preserve"> z dnia 28 listopada 2003 r. o świadczeniach rodzinnych</w:t>
            </w:r>
            <w:r>
              <w:rPr>
                <w:rFonts w:asciiTheme="minorHAnsi" w:hAnsiTheme="minorHAnsi" w:cstheme="minorHAnsi"/>
                <w:sz w:val="22"/>
                <w:szCs w:val="22"/>
              </w:rPr>
              <w:t>,</w:t>
            </w:r>
          </w:p>
          <w:p w:rsidR="00C75ADB" w:rsidRDefault="00C75ADB" w:rsidP="00ED7B7D">
            <w:pPr>
              <w:jc w:val="both"/>
              <w:rPr>
                <w:rFonts w:asciiTheme="minorHAnsi" w:hAnsiTheme="minorHAnsi" w:cstheme="minorHAnsi"/>
                <w:sz w:val="22"/>
                <w:szCs w:val="22"/>
              </w:rPr>
            </w:pPr>
            <w:r>
              <w:rPr>
                <w:rFonts w:asciiTheme="minorHAnsi" w:hAnsiTheme="minorHAnsi" w:cstheme="minorHAnsi"/>
                <w:sz w:val="22"/>
                <w:szCs w:val="22"/>
              </w:rPr>
              <w:t>2)</w:t>
            </w:r>
            <w:r w:rsidRPr="00C75ADB">
              <w:rPr>
                <w:rFonts w:asciiTheme="minorHAnsi" w:hAnsiTheme="minorHAnsi" w:cstheme="minorHAnsi"/>
                <w:sz w:val="22"/>
                <w:szCs w:val="22"/>
              </w:rPr>
              <w:t>ustaw</w:t>
            </w:r>
            <w:r>
              <w:rPr>
                <w:rFonts w:asciiTheme="minorHAnsi" w:hAnsiTheme="minorHAnsi" w:cstheme="minorHAnsi"/>
                <w:sz w:val="22"/>
                <w:szCs w:val="22"/>
              </w:rPr>
              <w:t>y</w:t>
            </w:r>
            <w:r w:rsidRPr="00C75ADB">
              <w:rPr>
                <w:rFonts w:asciiTheme="minorHAnsi" w:hAnsiTheme="minorHAnsi" w:cstheme="minorHAnsi"/>
                <w:sz w:val="22"/>
                <w:szCs w:val="22"/>
              </w:rPr>
              <w:t xml:space="preserve"> z dnia 12 marca 2004 r. o pomocy społecznej</w:t>
            </w:r>
            <w:r>
              <w:rPr>
                <w:rFonts w:asciiTheme="minorHAnsi" w:hAnsiTheme="minorHAnsi" w:cstheme="minorHAnsi"/>
                <w:sz w:val="22"/>
                <w:szCs w:val="22"/>
              </w:rPr>
              <w:t>,</w:t>
            </w:r>
          </w:p>
          <w:p w:rsidR="00C75ADB" w:rsidRDefault="00C75ADB" w:rsidP="00ED7B7D">
            <w:pPr>
              <w:jc w:val="both"/>
              <w:rPr>
                <w:rFonts w:asciiTheme="minorHAnsi" w:hAnsiTheme="minorHAnsi" w:cstheme="minorHAnsi"/>
                <w:sz w:val="22"/>
                <w:szCs w:val="22"/>
              </w:rPr>
            </w:pPr>
            <w:r>
              <w:rPr>
                <w:rFonts w:asciiTheme="minorHAnsi" w:hAnsiTheme="minorHAnsi" w:cstheme="minorHAnsi"/>
                <w:sz w:val="22"/>
                <w:szCs w:val="22"/>
              </w:rPr>
              <w:t xml:space="preserve">3) </w:t>
            </w:r>
            <w:r w:rsidRPr="00C75ADB">
              <w:rPr>
                <w:rFonts w:asciiTheme="minorHAnsi" w:hAnsiTheme="minorHAnsi" w:cstheme="minorHAnsi"/>
                <w:sz w:val="22"/>
                <w:szCs w:val="22"/>
              </w:rPr>
              <w:t>ustaw</w:t>
            </w:r>
            <w:r>
              <w:rPr>
                <w:rFonts w:asciiTheme="minorHAnsi" w:hAnsiTheme="minorHAnsi" w:cstheme="minorHAnsi"/>
                <w:sz w:val="22"/>
                <w:szCs w:val="22"/>
              </w:rPr>
              <w:t>y</w:t>
            </w:r>
            <w:r w:rsidRPr="00C75ADB">
              <w:rPr>
                <w:rFonts w:asciiTheme="minorHAnsi" w:hAnsiTheme="minorHAnsi" w:cstheme="minorHAnsi"/>
                <w:sz w:val="22"/>
                <w:szCs w:val="22"/>
              </w:rPr>
              <w:t xml:space="preserve"> z dnia 20 kwietnia 2004 r. o promocji zatrudnienia i instytucjach rynku pracy</w:t>
            </w:r>
            <w:r>
              <w:rPr>
                <w:rFonts w:asciiTheme="minorHAnsi" w:hAnsiTheme="minorHAnsi" w:cstheme="minorHAnsi"/>
                <w:sz w:val="22"/>
                <w:szCs w:val="22"/>
              </w:rPr>
              <w:t>,</w:t>
            </w:r>
          </w:p>
          <w:p w:rsidR="00C75ADB" w:rsidRDefault="00C75ADB" w:rsidP="00ED7B7D">
            <w:pPr>
              <w:jc w:val="both"/>
              <w:rPr>
                <w:rFonts w:asciiTheme="minorHAnsi" w:hAnsiTheme="minorHAnsi" w:cstheme="minorHAnsi"/>
                <w:sz w:val="22"/>
                <w:szCs w:val="22"/>
              </w:rPr>
            </w:pPr>
            <w:r>
              <w:rPr>
                <w:rFonts w:asciiTheme="minorHAnsi" w:hAnsiTheme="minorHAnsi" w:cstheme="minorHAnsi"/>
                <w:sz w:val="22"/>
                <w:szCs w:val="22"/>
              </w:rPr>
              <w:t xml:space="preserve">4) </w:t>
            </w:r>
            <w:r w:rsidRPr="00C75ADB">
              <w:rPr>
                <w:rFonts w:asciiTheme="minorHAnsi" w:hAnsiTheme="minorHAnsi" w:cstheme="minorHAnsi"/>
                <w:sz w:val="22"/>
                <w:szCs w:val="22"/>
              </w:rPr>
              <w:t>ustaw</w:t>
            </w:r>
            <w:r>
              <w:rPr>
                <w:rFonts w:asciiTheme="minorHAnsi" w:hAnsiTheme="minorHAnsi" w:cstheme="minorHAnsi"/>
                <w:sz w:val="22"/>
                <w:szCs w:val="22"/>
              </w:rPr>
              <w:t>y</w:t>
            </w:r>
            <w:r w:rsidRPr="00C75ADB">
              <w:rPr>
                <w:rFonts w:asciiTheme="minorHAnsi" w:hAnsiTheme="minorHAnsi" w:cstheme="minorHAnsi"/>
                <w:sz w:val="22"/>
                <w:szCs w:val="22"/>
              </w:rPr>
              <w:t xml:space="preserve"> z dnia 27 sierpnia 2004 r. o świadczeniach opieki zdrowotnej finansowanych ze środków publicznych</w:t>
            </w:r>
            <w:r w:rsidR="002664F0">
              <w:rPr>
                <w:rFonts w:asciiTheme="minorHAnsi" w:hAnsiTheme="minorHAnsi" w:cstheme="minorHAnsi"/>
                <w:sz w:val="22"/>
                <w:szCs w:val="22"/>
              </w:rPr>
              <w:t>,</w:t>
            </w:r>
          </w:p>
          <w:p w:rsidR="002664F0" w:rsidRDefault="002664F0" w:rsidP="00ED7B7D">
            <w:pPr>
              <w:jc w:val="both"/>
              <w:rPr>
                <w:rFonts w:asciiTheme="minorHAnsi" w:hAnsiTheme="minorHAnsi" w:cstheme="minorHAnsi"/>
                <w:sz w:val="22"/>
                <w:szCs w:val="22"/>
              </w:rPr>
            </w:pPr>
            <w:r>
              <w:rPr>
                <w:rFonts w:asciiTheme="minorHAnsi" w:hAnsiTheme="minorHAnsi" w:cstheme="minorHAnsi"/>
                <w:sz w:val="22"/>
                <w:szCs w:val="22"/>
              </w:rPr>
              <w:t xml:space="preserve">5) ustawy </w:t>
            </w:r>
            <w:r w:rsidRPr="002664F0">
              <w:rPr>
                <w:rFonts w:asciiTheme="minorHAnsi" w:hAnsiTheme="minorHAnsi" w:cstheme="minorHAnsi"/>
                <w:sz w:val="22"/>
                <w:szCs w:val="22"/>
              </w:rPr>
              <w:t>z dnia 7 września 2007 r. o pomocy osobom uprawnionym do alimentów</w:t>
            </w:r>
            <w:r w:rsidR="00F21BFE">
              <w:rPr>
                <w:rFonts w:asciiTheme="minorHAnsi" w:hAnsiTheme="minorHAnsi" w:cstheme="minorHAnsi"/>
                <w:sz w:val="22"/>
                <w:szCs w:val="22"/>
              </w:rPr>
              <w:t>,</w:t>
            </w:r>
          </w:p>
          <w:p w:rsidR="00F21BFE" w:rsidRDefault="00F21BFE" w:rsidP="00ED7B7D">
            <w:pPr>
              <w:jc w:val="both"/>
              <w:rPr>
                <w:rFonts w:asciiTheme="minorHAnsi" w:hAnsiTheme="minorHAnsi" w:cstheme="minorHAnsi"/>
                <w:sz w:val="22"/>
                <w:szCs w:val="22"/>
              </w:rPr>
            </w:pPr>
            <w:r>
              <w:rPr>
                <w:rFonts w:asciiTheme="minorHAnsi" w:hAnsiTheme="minorHAnsi" w:cstheme="minorHAnsi"/>
                <w:sz w:val="22"/>
                <w:szCs w:val="22"/>
              </w:rPr>
              <w:t xml:space="preserve">6) </w:t>
            </w:r>
            <w:r w:rsidRPr="00F21BFE">
              <w:rPr>
                <w:rFonts w:asciiTheme="minorHAnsi" w:hAnsiTheme="minorHAnsi" w:cstheme="minorHAnsi"/>
                <w:sz w:val="22"/>
                <w:szCs w:val="22"/>
              </w:rPr>
              <w:t>ustaw</w:t>
            </w:r>
            <w:r>
              <w:rPr>
                <w:rFonts w:asciiTheme="minorHAnsi" w:hAnsiTheme="minorHAnsi" w:cstheme="minorHAnsi"/>
                <w:sz w:val="22"/>
                <w:szCs w:val="22"/>
              </w:rPr>
              <w:t>y</w:t>
            </w:r>
            <w:r w:rsidRPr="00F21BFE">
              <w:rPr>
                <w:rFonts w:asciiTheme="minorHAnsi" w:hAnsiTheme="minorHAnsi" w:cstheme="minorHAnsi"/>
                <w:sz w:val="22"/>
                <w:szCs w:val="22"/>
              </w:rPr>
              <w:t xml:space="preserve"> z dnia 6 sierpnia 2010 r. o dowodach osobistych</w:t>
            </w:r>
          </w:p>
          <w:p w:rsidR="00AA0B21" w:rsidRDefault="00AA0B21" w:rsidP="00ED7B7D">
            <w:pPr>
              <w:jc w:val="both"/>
              <w:rPr>
                <w:rFonts w:asciiTheme="minorHAnsi" w:hAnsiTheme="minorHAnsi" w:cstheme="minorHAnsi"/>
                <w:sz w:val="22"/>
                <w:szCs w:val="22"/>
              </w:rPr>
            </w:pPr>
            <w:r>
              <w:rPr>
                <w:rFonts w:asciiTheme="minorHAnsi" w:hAnsiTheme="minorHAnsi" w:cstheme="minorHAnsi"/>
                <w:sz w:val="22"/>
                <w:szCs w:val="22"/>
              </w:rPr>
              <w:t xml:space="preserve">7) </w:t>
            </w:r>
            <w:r w:rsidRPr="00AA0B21">
              <w:rPr>
                <w:rFonts w:asciiTheme="minorHAnsi" w:hAnsiTheme="minorHAnsi" w:cstheme="minorHAnsi"/>
                <w:sz w:val="22"/>
                <w:szCs w:val="22"/>
              </w:rPr>
              <w:t>ustaw</w:t>
            </w:r>
            <w:r>
              <w:rPr>
                <w:rFonts w:asciiTheme="minorHAnsi" w:hAnsiTheme="minorHAnsi" w:cstheme="minorHAnsi"/>
                <w:sz w:val="22"/>
                <w:szCs w:val="22"/>
              </w:rPr>
              <w:t>y</w:t>
            </w:r>
            <w:r w:rsidRPr="00AA0B21">
              <w:rPr>
                <w:rFonts w:asciiTheme="minorHAnsi" w:hAnsiTheme="minorHAnsi" w:cstheme="minorHAnsi"/>
                <w:sz w:val="22"/>
                <w:szCs w:val="22"/>
              </w:rPr>
              <w:t xml:space="preserve"> z dnia 15 kwietnia 2011 r. o systemie informacji oświatowej</w:t>
            </w:r>
            <w:r>
              <w:rPr>
                <w:rFonts w:asciiTheme="minorHAnsi" w:hAnsiTheme="minorHAnsi" w:cstheme="minorHAnsi"/>
                <w:sz w:val="22"/>
                <w:szCs w:val="22"/>
              </w:rPr>
              <w:t>,</w:t>
            </w:r>
          </w:p>
          <w:p w:rsidR="00AA0B21" w:rsidRDefault="00AA0B21" w:rsidP="00ED7B7D">
            <w:pPr>
              <w:jc w:val="both"/>
              <w:rPr>
                <w:rFonts w:asciiTheme="minorHAnsi" w:hAnsiTheme="minorHAnsi" w:cstheme="minorHAnsi"/>
                <w:sz w:val="22"/>
                <w:szCs w:val="22"/>
              </w:rPr>
            </w:pPr>
            <w:r>
              <w:rPr>
                <w:rFonts w:asciiTheme="minorHAnsi" w:hAnsiTheme="minorHAnsi" w:cstheme="minorHAnsi"/>
                <w:sz w:val="22"/>
                <w:szCs w:val="22"/>
              </w:rPr>
              <w:t xml:space="preserve">8) ustawy </w:t>
            </w:r>
            <w:r w:rsidRPr="00AA0B21">
              <w:rPr>
                <w:rFonts w:asciiTheme="minorHAnsi" w:hAnsiTheme="minorHAnsi" w:cstheme="minorHAnsi"/>
                <w:sz w:val="22"/>
                <w:szCs w:val="22"/>
              </w:rPr>
              <w:t>z dnia 28 kwietnia 2011 r. o systemie informacji w ochronie zdrowia</w:t>
            </w:r>
            <w:r w:rsidR="00CB5223">
              <w:rPr>
                <w:rFonts w:asciiTheme="minorHAnsi" w:hAnsiTheme="minorHAnsi" w:cstheme="minorHAnsi"/>
                <w:sz w:val="22"/>
                <w:szCs w:val="22"/>
              </w:rPr>
              <w:t>,</w:t>
            </w:r>
          </w:p>
          <w:p w:rsidR="00CB5223" w:rsidRDefault="00CB5223" w:rsidP="00ED7B7D">
            <w:pPr>
              <w:jc w:val="both"/>
              <w:rPr>
                <w:rFonts w:asciiTheme="minorHAnsi" w:hAnsiTheme="minorHAnsi" w:cstheme="minorHAnsi"/>
                <w:sz w:val="22"/>
                <w:szCs w:val="22"/>
              </w:rPr>
            </w:pPr>
            <w:r>
              <w:rPr>
                <w:rFonts w:asciiTheme="minorHAnsi" w:hAnsiTheme="minorHAnsi" w:cstheme="minorHAnsi"/>
                <w:sz w:val="22"/>
                <w:szCs w:val="22"/>
              </w:rPr>
              <w:t xml:space="preserve">9) ustawy </w:t>
            </w:r>
            <w:r w:rsidRPr="00CB5223">
              <w:rPr>
                <w:rFonts w:asciiTheme="minorHAnsi" w:hAnsiTheme="minorHAnsi" w:cstheme="minorHAnsi"/>
                <w:sz w:val="22"/>
                <w:szCs w:val="22"/>
              </w:rPr>
              <w:t>z dnia 28 listopada 2014 r. – Prawo o aktach stanu cywilnego</w:t>
            </w:r>
            <w:r w:rsidR="003728CB">
              <w:rPr>
                <w:rFonts w:asciiTheme="minorHAnsi" w:hAnsiTheme="minorHAnsi" w:cstheme="minorHAnsi"/>
                <w:sz w:val="22"/>
                <w:szCs w:val="22"/>
              </w:rPr>
              <w:t>,</w:t>
            </w:r>
          </w:p>
          <w:p w:rsidR="003728CB" w:rsidRDefault="003728CB" w:rsidP="00ED7B7D">
            <w:pPr>
              <w:jc w:val="both"/>
              <w:rPr>
                <w:rFonts w:asciiTheme="minorHAnsi" w:hAnsiTheme="minorHAnsi" w:cstheme="minorHAnsi"/>
                <w:sz w:val="22"/>
                <w:szCs w:val="22"/>
              </w:rPr>
            </w:pPr>
            <w:r>
              <w:rPr>
                <w:rFonts w:asciiTheme="minorHAnsi" w:hAnsiTheme="minorHAnsi" w:cstheme="minorHAnsi"/>
                <w:sz w:val="22"/>
                <w:szCs w:val="22"/>
              </w:rPr>
              <w:t xml:space="preserve">10) ustawy </w:t>
            </w:r>
            <w:r w:rsidRPr="003728CB">
              <w:rPr>
                <w:rFonts w:asciiTheme="minorHAnsi" w:hAnsiTheme="minorHAnsi" w:cstheme="minorHAnsi"/>
                <w:sz w:val="22"/>
                <w:szCs w:val="22"/>
              </w:rPr>
              <w:t>z dnia 11 lutego 2016 r. o pomocy państwa w wychowywaniu dzieci</w:t>
            </w:r>
            <w:r w:rsidR="00BA3271">
              <w:rPr>
                <w:rFonts w:asciiTheme="minorHAnsi" w:hAnsiTheme="minorHAnsi" w:cstheme="minorHAnsi"/>
                <w:sz w:val="22"/>
                <w:szCs w:val="22"/>
              </w:rPr>
              <w:t>,</w:t>
            </w:r>
          </w:p>
          <w:p w:rsidR="00BA3271" w:rsidRDefault="00BA3271" w:rsidP="00ED7B7D">
            <w:pPr>
              <w:jc w:val="both"/>
              <w:rPr>
                <w:rFonts w:asciiTheme="minorHAnsi" w:hAnsiTheme="minorHAnsi" w:cstheme="minorHAnsi"/>
                <w:sz w:val="22"/>
                <w:szCs w:val="22"/>
              </w:rPr>
            </w:pPr>
            <w:r>
              <w:rPr>
                <w:rFonts w:asciiTheme="minorHAnsi" w:hAnsiTheme="minorHAnsi" w:cstheme="minorHAnsi"/>
                <w:sz w:val="22"/>
                <w:szCs w:val="22"/>
              </w:rPr>
              <w:t xml:space="preserve">11) ustawy </w:t>
            </w:r>
            <w:r w:rsidRPr="00BA3271">
              <w:rPr>
                <w:rFonts w:asciiTheme="minorHAnsi" w:hAnsiTheme="minorHAnsi" w:cstheme="minorHAnsi"/>
                <w:sz w:val="22"/>
                <w:szCs w:val="22"/>
              </w:rPr>
              <w:t>z dnia 6 marca 2018 r. o Centralnej Ewidencji i Informacji o Działalności Gospodarczej i Punkcie Informacji dla Przedsiębiorcy</w:t>
            </w:r>
            <w:r w:rsidR="00CA36FE">
              <w:rPr>
                <w:rFonts w:asciiTheme="minorHAnsi" w:hAnsiTheme="minorHAnsi" w:cstheme="minorHAnsi"/>
                <w:sz w:val="22"/>
                <w:szCs w:val="22"/>
              </w:rPr>
              <w:t>,</w:t>
            </w:r>
          </w:p>
          <w:p w:rsidR="00CA36FE" w:rsidRDefault="00CA36FE" w:rsidP="00ED7B7D">
            <w:pPr>
              <w:jc w:val="both"/>
              <w:rPr>
                <w:rFonts w:asciiTheme="minorHAnsi" w:hAnsiTheme="minorHAnsi" w:cstheme="minorHAnsi"/>
                <w:sz w:val="22"/>
                <w:szCs w:val="22"/>
              </w:rPr>
            </w:pPr>
            <w:r>
              <w:rPr>
                <w:rFonts w:asciiTheme="minorHAnsi" w:hAnsiTheme="minorHAnsi" w:cstheme="minorHAnsi"/>
                <w:sz w:val="22"/>
                <w:szCs w:val="22"/>
              </w:rPr>
              <w:t xml:space="preserve">12) ustawy </w:t>
            </w:r>
            <w:r w:rsidRPr="00CA36FE">
              <w:rPr>
                <w:rFonts w:asciiTheme="minorHAnsi" w:hAnsiTheme="minorHAnsi" w:cstheme="minorHAnsi"/>
                <w:sz w:val="22"/>
                <w:szCs w:val="22"/>
              </w:rPr>
              <w:t>z dnia 20 lipca 2018 r. – Prawo o szkolnictwie wyższym i nauce</w:t>
            </w:r>
          </w:p>
          <w:p w:rsidR="00BB3C30" w:rsidRPr="00A06425" w:rsidRDefault="00C75ADB" w:rsidP="00ED7B7D">
            <w:pPr>
              <w:jc w:val="both"/>
              <w:rPr>
                <w:rFonts w:asciiTheme="minorHAnsi" w:hAnsiTheme="minorHAnsi" w:cstheme="minorHAnsi"/>
                <w:sz w:val="22"/>
                <w:szCs w:val="22"/>
              </w:rPr>
            </w:pPr>
            <w:r>
              <w:rPr>
                <w:rFonts w:asciiTheme="minorHAnsi" w:hAnsiTheme="minorHAnsi" w:cstheme="minorHAnsi"/>
                <w:sz w:val="22"/>
                <w:szCs w:val="22"/>
              </w:rPr>
              <w:t>- u</w:t>
            </w:r>
            <w:r w:rsidR="00ED7B7D" w:rsidRPr="00ED7B7D">
              <w:rPr>
                <w:rFonts w:asciiTheme="minorHAnsi" w:hAnsiTheme="minorHAnsi" w:cstheme="minorHAnsi"/>
                <w:sz w:val="22"/>
                <w:szCs w:val="22"/>
              </w:rPr>
              <w:t>wagi</w:t>
            </w:r>
            <w:r w:rsidR="00E3628F">
              <w:rPr>
                <w:rFonts w:asciiTheme="minorHAnsi" w:hAnsiTheme="minorHAnsi" w:cstheme="minorHAnsi"/>
                <w:sz w:val="22"/>
                <w:szCs w:val="22"/>
              </w:rPr>
              <w:t xml:space="preserve"> analogiczne do uwag zgłoszonych</w:t>
            </w:r>
            <w:r w:rsidR="00ED7B7D" w:rsidRPr="00ED7B7D">
              <w:rPr>
                <w:rFonts w:asciiTheme="minorHAnsi" w:hAnsiTheme="minorHAnsi" w:cstheme="minorHAnsi"/>
                <w:sz w:val="22"/>
                <w:szCs w:val="22"/>
              </w:rPr>
              <w:t xml:space="preserve"> w przypadku ustaw nowelizowanych w art. 6 i art. 10 projektu.</w:t>
            </w: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BB3C30" w:rsidRPr="00A06425" w:rsidTr="006976D6">
        <w:tc>
          <w:tcPr>
            <w:tcW w:w="562" w:type="dxa"/>
            <w:shd w:val="clear" w:color="auto" w:fill="auto"/>
          </w:tcPr>
          <w:p w:rsidR="00BB3C30"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t>12</w:t>
            </w:r>
          </w:p>
        </w:tc>
        <w:tc>
          <w:tcPr>
            <w:tcW w:w="1134" w:type="dxa"/>
            <w:shd w:val="clear" w:color="auto" w:fill="auto"/>
          </w:tcPr>
          <w:p w:rsidR="00BB3C30" w:rsidRPr="00A06425" w:rsidRDefault="00BB3C30" w:rsidP="004D086F">
            <w:pPr>
              <w:spacing w:before="60" w:after="60"/>
              <w:jc w:val="center"/>
              <w:rPr>
                <w:rFonts w:asciiTheme="minorHAnsi" w:hAnsiTheme="minorHAnsi" w:cstheme="minorHAnsi"/>
                <w:b/>
                <w:sz w:val="22"/>
                <w:szCs w:val="22"/>
              </w:rPr>
            </w:pPr>
          </w:p>
        </w:tc>
        <w:tc>
          <w:tcPr>
            <w:tcW w:w="1843" w:type="dxa"/>
            <w:shd w:val="clear" w:color="auto" w:fill="auto"/>
          </w:tcPr>
          <w:p w:rsidR="00BB3C30" w:rsidRPr="00A06425" w:rsidRDefault="006779D0" w:rsidP="004D086F">
            <w:pPr>
              <w:jc w:val="center"/>
              <w:rPr>
                <w:rFonts w:asciiTheme="minorHAnsi" w:hAnsiTheme="minorHAnsi" w:cstheme="minorHAnsi"/>
                <w:sz w:val="22"/>
                <w:szCs w:val="22"/>
              </w:rPr>
            </w:pPr>
            <w:r>
              <w:rPr>
                <w:rFonts w:asciiTheme="minorHAnsi" w:hAnsiTheme="minorHAnsi" w:cstheme="minorHAnsi"/>
                <w:sz w:val="22"/>
                <w:szCs w:val="22"/>
              </w:rPr>
              <w:t>Art. 19</w:t>
            </w:r>
          </w:p>
        </w:tc>
        <w:tc>
          <w:tcPr>
            <w:tcW w:w="7938" w:type="dxa"/>
            <w:shd w:val="clear" w:color="auto" w:fill="auto"/>
          </w:tcPr>
          <w:p w:rsidR="00BB3C30" w:rsidRDefault="006779D0" w:rsidP="006779D0">
            <w:pPr>
              <w:jc w:val="both"/>
              <w:rPr>
                <w:rFonts w:asciiTheme="minorHAnsi" w:hAnsiTheme="minorHAnsi" w:cstheme="minorHAnsi"/>
                <w:sz w:val="22"/>
                <w:szCs w:val="22"/>
              </w:rPr>
            </w:pPr>
            <w:r>
              <w:rPr>
                <w:rFonts w:asciiTheme="minorHAnsi" w:hAnsiTheme="minorHAnsi" w:cstheme="minorHAnsi"/>
                <w:sz w:val="22"/>
                <w:szCs w:val="22"/>
              </w:rPr>
              <w:t xml:space="preserve">W przypadku </w:t>
            </w:r>
            <w:r w:rsidRPr="006779D0">
              <w:rPr>
                <w:rFonts w:asciiTheme="minorHAnsi" w:hAnsiTheme="minorHAnsi" w:cstheme="minorHAnsi"/>
                <w:sz w:val="22"/>
                <w:szCs w:val="22"/>
              </w:rPr>
              <w:t>ustaw</w:t>
            </w:r>
            <w:r>
              <w:rPr>
                <w:rFonts w:asciiTheme="minorHAnsi" w:hAnsiTheme="minorHAnsi" w:cstheme="minorHAnsi"/>
                <w:sz w:val="22"/>
                <w:szCs w:val="22"/>
              </w:rPr>
              <w:t>y</w:t>
            </w:r>
            <w:r w:rsidRPr="006779D0">
              <w:rPr>
                <w:rFonts w:asciiTheme="minorHAnsi" w:hAnsiTheme="minorHAnsi" w:cstheme="minorHAnsi"/>
                <w:sz w:val="22"/>
                <w:szCs w:val="22"/>
              </w:rPr>
              <w:t xml:space="preserve"> z dnia 17 lutego 2005 r. </w:t>
            </w:r>
            <w:r w:rsidRPr="00B51013">
              <w:rPr>
                <w:rFonts w:asciiTheme="minorHAnsi" w:hAnsiTheme="minorHAnsi" w:cstheme="minorHAnsi"/>
                <w:sz w:val="22"/>
                <w:szCs w:val="22"/>
              </w:rPr>
              <w:t>o informatyzacji działalności</w:t>
            </w:r>
            <w:r w:rsidRPr="006779D0">
              <w:rPr>
                <w:rFonts w:asciiTheme="minorHAnsi" w:hAnsiTheme="minorHAnsi" w:cstheme="minorHAnsi"/>
                <w:sz w:val="22"/>
                <w:szCs w:val="22"/>
              </w:rPr>
              <w:t xml:space="preserve"> podmiotów realizujących zadania publiczne</w:t>
            </w:r>
            <w:r>
              <w:rPr>
                <w:rFonts w:asciiTheme="minorHAnsi" w:hAnsiTheme="minorHAnsi" w:cstheme="minorHAnsi"/>
                <w:sz w:val="22"/>
                <w:szCs w:val="22"/>
              </w:rPr>
              <w:t>:</w:t>
            </w:r>
          </w:p>
          <w:p w:rsidR="006779D0" w:rsidRDefault="006779D0" w:rsidP="006779D0">
            <w:pPr>
              <w:jc w:val="both"/>
              <w:rPr>
                <w:rFonts w:asciiTheme="minorHAnsi" w:hAnsiTheme="minorHAnsi" w:cstheme="minorHAnsi"/>
                <w:sz w:val="22"/>
                <w:szCs w:val="22"/>
              </w:rPr>
            </w:pPr>
            <w:r>
              <w:rPr>
                <w:rFonts w:asciiTheme="minorHAnsi" w:hAnsiTheme="minorHAnsi" w:cstheme="minorHAnsi"/>
                <w:sz w:val="22"/>
                <w:szCs w:val="22"/>
              </w:rPr>
              <w:t xml:space="preserve">1) </w:t>
            </w:r>
            <w:r w:rsidR="0071322B">
              <w:rPr>
                <w:rFonts w:asciiTheme="minorHAnsi" w:hAnsiTheme="minorHAnsi" w:cstheme="minorHAnsi"/>
                <w:sz w:val="22"/>
                <w:szCs w:val="22"/>
              </w:rPr>
              <w:t xml:space="preserve">w przypadku zmiany wprowadzanej w pkt 1, dotyczącej art. 12i ust. 2 </w:t>
            </w:r>
            <w:r>
              <w:rPr>
                <w:rFonts w:asciiTheme="minorHAnsi" w:hAnsiTheme="minorHAnsi" w:cstheme="minorHAnsi"/>
                <w:sz w:val="22"/>
                <w:szCs w:val="22"/>
              </w:rPr>
              <w:t xml:space="preserve">zauważyć należy, że </w:t>
            </w:r>
            <w:r w:rsidR="0071322B">
              <w:rPr>
                <w:rFonts w:asciiTheme="minorHAnsi" w:hAnsiTheme="minorHAnsi" w:cstheme="minorHAnsi"/>
                <w:sz w:val="22"/>
                <w:szCs w:val="22"/>
              </w:rPr>
              <w:t>z</w:t>
            </w:r>
            <w:r w:rsidR="0071322B" w:rsidRPr="0071322B">
              <w:rPr>
                <w:rFonts w:asciiTheme="minorHAnsi" w:hAnsiTheme="minorHAnsi" w:cstheme="minorHAnsi"/>
                <w:sz w:val="22"/>
                <w:szCs w:val="22"/>
              </w:rPr>
              <w:t>godnie z art. 12i ust. 2 ustawy Agencja Rozwoju Przemysłu S.A. zapewnia wsparcie w realizacji projektów informatycznych o publicznym zastosowaniu; zmiana terminologii i w rzeczywistości zdefiniowanie „przedsięwzięć informatycznych o publicznym zastosowaniu” (mających – jak się wydaje – szerszy zakres niż projekty informatyczne) może powodować wątpliwości co do  przeznaczenia dotacji celowej udzielonej temu podmiotowi na realizację zadań w tym obszarze. Kwestia ta wymaga wyjaśnienia, tym bardziej, że Wnioskodawca nie zdecydował się rozstrzygnąć tych zagadnień w przepisach o charakterze przejściowym</w:t>
            </w:r>
            <w:r w:rsidR="0071322B">
              <w:rPr>
                <w:rFonts w:asciiTheme="minorHAnsi" w:hAnsiTheme="minorHAnsi" w:cstheme="minorHAnsi"/>
                <w:sz w:val="22"/>
                <w:szCs w:val="22"/>
              </w:rPr>
              <w:t>;</w:t>
            </w:r>
          </w:p>
          <w:p w:rsidR="0071322B" w:rsidRDefault="0071322B" w:rsidP="006779D0">
            <w:pPr>
              <w:jc w:val="both"/>
              <w:rPr>
                <w:rFonts w:asciiTheme="minorHAnsi" w:hAnsiTheme="minorHAnsi" w:cstheme="minorHAnsi"/>
                <w:sz w:val="22"/>
                <w:szCs w:val="22"/>
              </w:rPr>
            </w:pPr>
            <w:r>
              <w:rPr>
                <w:rFonts w:asciiTheme="minorHAnsi" w:hAnsiTheme="minorHAnsi" w:cstheme="minorHAnsi"/>
                <w:sz w:val="22"/>
                <w:szCs w:val="22"/>
              </w:rPr>
              <w:t xml:space="preserve">2) </w:t>
            </w:r>
            <w:r w:rsidR="00C07890">
              <w:rPr>
                <w:rFonts w:asciiTheme="minorHAnsi" w:hAnsiTheme="minorHAnsi" w:cstheme="minorHAnsi"/>
                <w:sz w:val="22"/>
                <w:szCs w:val="22"/>
              </w:rPr>
              <w:t>u</w:t>
            </w:r>
            <w:r w:rsidR="00C07890" w:rsidRPr="00C07890">
              <w:rPr>
                <w:rFonts w:asciiTheme="minorHAnsi" w:hAnsiTheme="minorHAnsi" w:cstheme="minorHAnsi"/>
                <w:sz w:val="22"/>
                <w:szCs w:val="22"/>
              </w:rPr>
              <w:t xml:space="preserve">chylenie przepisów art. 3 pkt 7 i 8 ustawy o informatyzacji (ponadsektorowy i sektorowy projekt informatyczny) </w:t>
            </w:r>
            <w:r w:rsidR="00C07890">
              <w:rPr>
                <w:rFonts w:asciiTheme="minorHAnsi" w:hAnsiTheme="minorHAnsi" w:cstheme="minorHAnsi"/>
                <w:sz w:val="22"/>
                <w:szCs w:val="22"/>
              </w:rPr>
              <w:t xml:space="preserve">– art. 19 pkt 4 lit. b projektu ustawy - </w:t>
            </w:r>
            <w:r w:rsidR="00C07890" w:rsidRPr="00C07890">
              <w:rPr>
                <w:rFonts w:asciiTheme="minorHAnsi" w:hAnsiTheme="minorHAnsi" w:cstheme="minorHAnsi"/>
                <w:sz w:val="22"/>
                <w:szCs w:val="22"/>
              </w:rPr>
              <w:t>wymagać będzie także nowelizacji przepisów dotyczących kontroli zawartych w art. 25 ust. 1 ustawy. Przesądzenia wymaga, czy na skutek uchylenia ww. przepisów taka kontrola nadal będzie sprawowana przez Prezesa Rady Ministrów albo ministra kierującego określonym działem administracji rządowej</w:t>
            </w:r>
            <w:r w:rsidR="005875F4">
              <w:rPr>
                <w:rFonts w:asciiTheme="minorHAnsi" w:hAnsiTheme="minorHAnsi" w:cstheme="minorHAnsi"/>
                <w:sz w:val="22"/>
                <w:szCs w:val="22"/>
              </w:rPr>
              <w:t>,</w:t>
            </w:r>
            <w:r w:rsidR="00C07890" w:rsidRPr="00C07890">
              <w:rPr>
                <w:rFonts w:asciiTheme="minorHAnsi" w:hAnsiTheme="minorHAnsi" w:cstheme="minorHAnsi"/>
                <w:sz w:val="22"/>
                <w:szCs w:val="22"/>
              </w:rPr>
              <w:t xml:space="preserve"> ale już nie w zakresie projektów sektorowych czy ponadsektorowych</w:t>
            </w:r>
            <w:r w:rsidR="005875F4">
              <w:rPr>
                <w:rFonts w:asciiTheme="minorHAnsi" w:hAnsiTheme="minorHAnsi" w:cstheme="minorHAnsi"/>
                <w:sz w:val="22"/>
                <w:szCs w:val="22"/>
              </w:rPr>
              <w:t>,</w:t>
            </w:r>
            <w:r w:rsidR="00C07890" w:rsidRPr="00C07890">
              <w:rPr>
                <w:rFonts w:asciiTheme="minorHAnsi" w:hAnsiTheme="minorHAnsi" w:cstheme="minorHAnsi"/>
                <w:sz w:val="22"/>
                <w:szCs w:val="22"/>
              </w:rPr>
              <w:t xml:space="preserve"> a w zakresie przedsięwzięć informatycznych</w:t>
            </w:r>
            <w:r w:rsidR="00C07890">
              <w:rPr>
                <w:rFonts w:asciiTheme="minorHAnsi" w:hAnsiTheme="minorHAnsi" w:cstheme="minorHAnsi"/>
                <w:sz w:val="22"/>
                <w:szCs w:val="22"/>
              </w:rPr>
              <w:t>;</w:t>
            </w:r>
          </w:p>
          <w:p w:rsidR="00BF32E4" w:rsidRDefault="00C07890" w:rsidP="006779D0">
            <w:pPr>
              <w:jc w:val="both"/>
              <w:rPr>
                <w:rFonts w:asciiTheme="minorHAnsi" w:hAnsiTheme="minorHAnsi" w:cstheme="minorHAnsi"/>
                <w:sz w:val="22"/>
                <w:szCs w:val="22"/>
              </w:rPr>
            </w:pPr>
            <w:r>
              <w:rPr>
                <w:rFonts w:asciiTheme="minorHAnsi" w:hAnsiTheme="minorHAnsi" w:cstheme="minorHAnsi"/>
                <w:sz w:val="22"/>
                <w:szCs w:val="22"/>
              </w:rPr>
              <w:lastRenderedPageBreak/>
              <w:t xml:space="preserve">3) </w:t>
            </w:r>
            <w:r w:rsidR="00BF32E4">
              <w:rPr>
                <w:rFonts w:asciiTheme="minorHAnsi" w:hAnsiTheme="minorHAnsi" w:cstheme="minorHAnsi"/>
                <w:sz w:val="22"/>
                <w:szCs w:val="22"/>
              </w:rPr>
              <w:t>w przypadku d</w:t>
            </w:r>
            <w:r w:rsidR="00BF32E4" w:rsidRPr="002020EB">
              <w:rPr>
                <w:rFonts w:asciiTheme="minorHAnsi" w:hAnsiTheme="minorHAnsi" w:cstheme="minorHAnsi"/>
                <w:sz w:val="22"/>
                <w:szCs w:val="22"/>
              </w:rPr>
              <w:t>odawan</w:t>
            </w:r>
            <w:r w:rsidR="00BF32E4">
              <w:rPr>
                <w:rFonts w:asciiTheme="minorHAnsi" w:hAnsiTheme="minorHAnsi" w:cstheme="minorHAnsi"/>
                <w:sz w:val="22"/>
                <w:szCs w:val="22"/>
              </w:rPr>
              <w:t>ego</w:t>
            </w:r>
            <w:r w:rsidR="00BF32E4" w:rsidRPr="002020EB">
              <w:rPr>
                <w:rFonts w:asciiTheme="minorHAnsi" w:hAnsiTheme="minorHAnsi" w:cstheme="minorHAnsi"/>
                <w:sz w:val="22"/>
                <w:szCs w:val="22"/>
              </w:rPr>
              <w:t xml:space="preserve"> </w:t>
            </w:r>
            <w:r w:rsidR="00BF32E4">
              <w:rPr>
                <w:rFonts w:asciiTheme="minorHAnsi" w:hAnsiTheme="minorHAnsi" w:cstheme="minorHAnsi"/>
                <w:sz w:val="22"/>
                <w:szCs w:val="22"/>
              </w:rPr>
              <w:t>art. 12aa:</w:t>
            </w:r>
          </w:p>
          <w:p w:rsidR="00C07890" w:rsidRDefault="00BF32E4" w:rsidP="006779D0">
            <w:pPr>
              <w:jc w:val="both"/>
              <w:rPr>
                <w:rFonts w:asciiTheme="minorHAnsi" w:hAnsiTheme="minorHAnsi" w:cstheme="minorHAnsi"/>
                <w:sz w:val="22"/>
                <w:szCs w:val="22"/>
              </w:rPr>
            </w:pPr>
            <w:r>
              <w:rPr>
                <w:rFonts w:asciiTheme="minorHAnsi" w:hAnsiTheme="minorHAnsi" w:cstheme="minorHAnsi"/>
                <w:sz w:val="22"/>
                <w:szCs w:val="22"/>
              </w:rPr>
              <w:t xml:space="preserve">a) </w:t>
            </w:r>
            <w:r w:rsidR="002020EB" w:rsidRPr="002020EB">
              <w:rPr>
                <w:rFonts w:asciiTheme="minorHAnsi" w:hAnsiTheme="minorHAnsi" w:cstheme="minorHAnsi"/>
                <w:sz w:val="22"/>
                <w:szCs w:val="22"/>
              </w:rPr>
              <w:t>przepis przewiduje m.in., że minister właściwy do spraw informatyzacji będzie opracowywał dokument strategiczny w celu koordynacji transformacji cyfrowej państwa. Należy zauważyć, że z przepisów ustawy z dnia 4 września 1997 r. o działach administracji rządowej (Dz. U. z 2022 r. poz. 2512) – art. 12a – nie wynika</w:t>
            </w:r>
            <w:r w:rsidR="008811D7">
              <w:rPr>
                <w:rFonts w:asciiTheme="minorHAnsi" w:hAnsiTheme="minorHAnsi" w:cstheme="minorHAnsi"/>
                <w:sz w:val="22"/>
                <w:szCs w:val="22"/>
              </w:rPr>
              <w:t xml:space="preserve"> wprost</w:t>
            </w:r>
            <w:r w:rsidR="002020EB" w:rsidRPr="002020EB">
              <w:rPr>
                <w:rFonts w:asciiTheme="minorHAnsi" w:hAnsiTheme="minorHAnsi" w:cstheme="minorHAnsi"/>
                <w:sz w:val="22"/>
                <w:szCs w:val="22"/>
              </w:rPr>
              <w:t xml:space="preserve">, że dział administracji rządowej – informatyzacja obejmuje sprawy takiej transformacji, jak to przewidziano np. dla działu – gospodarka (obejmującego sprawy transformacji cyfrowej gospodarki). Tym samym </w:t>
            </w:r>
            <w:r w:rsidR="00957167">
              <w:rPr>
                <w:rFonts w:asciiTheme="minorHAnsi" w:hAnsiTheme="minorHAnsi" w:cstheme="minorHAnsi"/>
                <w:sz w:val="22"/>
                <w:szCs w:val="22"/>
              </w:rPr>
              <w:t>analizy</w:t>
            </w:r>
            <w:r w:rsidR="002020EB" w:rsidRPr="002020EB">
              <w:rPr>
                <w:rFonts w:asciiTheme="minorHAnsi" w:hAnsiTheme="minorHAnsi" w:cstheme="minorHAnsi"/>
                <w:sz w:val="22"/>
                <w:szCs w:val="22"/>
              </w:rPr>
              <w:t xml:space="preserve"> wymaga zasadność uzupełnienia przepisów ustawy o działach w tym względzie – ewentualnie takie powiązanie art. 12aa ustawy o informatyzacji z ustawą „działową”, aby cel opracowania dokumentu w sposób bezpośredni wpisywał się w zadania określone dla działu informatyzacja</w:t>
            </w:r>
            <w:r>
              <w:rPr>
                <w:rFonts w:asciiTheme="minorHAnsi" w:hAnsiTheme="minorHAnsi" w:cstheme="minorHAnsi"/>
                <w:sz w:val="22"/>
                <w:szCs w:val="22"/>
              </w:rPr>
              <w:t>,</w:t>
            </w:r>
          </w:p>
          <w:p w:rsidR="00BF32E4" w:rsidRPr="00BF32E4" w:rsidRDefault="00BF32E4" w:rsidP="00BF32E4">
            <w:pPr>
              <w:jc w:val="both"/>
              <w:rPr>
                <w:rFonts w:asciiTheme="minorHAnsi" w:hAnsiTheme="minorHAnsi" w:cstheme="minorHAnsi"/>
                <w:sz w:val="22"/>
                <w:szCs w:val="22"/>
              </w:rPr>
            </w:pPr>
            <w:r>
              <w:rPr>
                <w:rFonts w:asciiTheme="minorHAnsi" w:hAnsiTheme="minorHAnsi" w:cstheme="minorHAnsi"/>
                <w:sz w:val="22"/>
                <w:szCs w:val="22"/>
              </w:rPr>
              <w:t>b) dodatkowo b</w:t>
            </w:r>
            <w:r w:rsidRPr="00BF32E4">
              <w:rPr>
                <w:rFonts w:asciiTheme="minorHAnsi" w:hAnsiTheme="minorHAnsi" w:cstheme="minorHAnsi"/>
                <w:sz w:val="22"/>
                <w:szCs w:val="22"/>
              </w:rPr>
              <w:t xml:space="preserve">iorąc pod uwagę kwestie dotyczące opracowywania przez ministra właściwego do spraw informatyzacji dokumentu strategicznego, należy zauważyć następujące problemy. </w:t>
            </w:r>
            <w:r>
              <w:rPr>
                <w:rFonts w:asciiTheme="minorHAnsi" w:hAnsiTheme="minorHAnsi" w:cstheme="minorHAnsi"/>
                <w:sz w:val="22"/>
                <w:szCs w:val="22"/>
              </w:rPr>
              <w:t xml:space="preserve"> </w:t>
            </w:r>
            <w:r w:rsidRPr="00BF32E4">
              <w:rPr>
                <w:rFonts w:asciiTheme="minorHAnsi" w:hAnsiTheme="minorHAnsi" w:cstheme="minorHAnsi"/>
                <w:sz w:val="22"/>
                <w:szCs w:val="22"/>
              </w:rPr>
              <w:t>Projektowany przepis art. 12aa ustawy o informatyzacji określa swoiste przesłanki, którymi powinien kierować się minister, opracowując dokument o charakterze strategicznym. Niejasne pozostaje, czy te przesłanki w rzeczywistości mają stanowić elementy dokumentu, czy tylko wytyczne dla ministra – co wymaga jednoznacznego przesądzenia.</w:t>
            </w:r>
            <w:r>
              <w:rPr>
                <w:rFonts w:asciiTheme="minorHAnsi" w:hAnsiTheme="minorHAnsi" w:cstheme="minorHAnsi"/>
                <w:sz w:val="22"/>
                <w:szCs w:val="22"/>
              </w:rPr>
              <w:t xml:space="preserve"> </w:t>
            </w:r>
            <w:r w:rsidRPr="00BF32E4">
              <w:rPr>
                <w:rFonts w:asciiTheme="minorHAnsi" w:hAnsiTheme="minorHAnsi" w:cstheme="minorHAnsi"/>
                <w:sz w:val="22"/>
                <w:szCs w:val="22"/>
              </w:rPr>
              <w:t>Ponadto dookreślenia wymaga, czego ma dotyczyć otoczenie strategiczne brane po uwagę przy opracowywaniu dokumentu.</w:t>
            </w:r>
          </w:p>
          <w:p w:rsidR="00BF32E4" w:rsidRPr="00BF32E4" w:rsidRDefault="00BF32E4" w:rsidP="00BF32E4">
            <w:pPr>
              <w:jc w:val="both"/>
              <w:rPr>
                <w:rFonts w:asciiTheme="minorHAnsi" w:hAnsiTheme="minorHAnsi" w:cstheme="minorHAnsi"/>
                <w:sz w:val="22"/>
                <w:szCs w:val="22"/>
              </w:rPr>
            </w:pPr>
            <w:r w:rsidRPr="00BF32E4">
              <w:rPr>
                <w:rFonts w:asciiTheme="minorHAnsi" w:hAnsiTheme="minorHAnsi" w:cstheme="minorHAnsi"/>
                <w:sz w:val="22"/>
                <w:szCs w:val="22"/>
              </w:rPr>
              <w:t>Co kluczowe, projektowana strategia ma być dokumentem uchwalanym przez Radę Ministrów, przyjmowanym na okres 10-letni, okresowo weryfikowanym. Ma jednocześnie zastąpić Program Zintegrowanej Informatyzacji Państwa będący programem rozwoju.</w:t>
            </w:r>
          </w:p>
          <w:p w:rsidR="008811D7" w:rsidRDefault="00BF32E4" w:rsidP="00BF32E4">
            <w:pPr>
              <w:jc w:val="both"/>
              <w:rPr>
                <w:rFonts w:asciiTheme="minorHAnsi" w:hAnsiTheme="minorHAnsi" w:cstheme="minorHAnsi"/>
                <w:sz w:val="22"/>
                <w:szCs w:val="22"/>
              </w:rPr>
            </w:pPr>
            <w:r w:rsidRPr="00BF32E4">
              <w:rPr>
                <w:rFonts w:asciiTheme="minorHAnsi" w:hAnsiTheme="minorHAnsi" w:cstheme="minorHAnsi"/>
                <w:sz w:val="22"/>
                <w:szCs w:val="22"/>
              </w:rPr>
              <w:t>Jednoznacznego przesądzenia w przepisie</w:t>
            </w:r>
            <w:r w:rsidR="005875F4">
              <w:rPr>
                <w:rFonts w:asciiTheme="minorHAnsi" w:hAnsiTheme="minorHAnsi" w:cstheme="minorHAnsi"/>
                <w:sz w:val="22"/>
                <w:szCs w:val="22"/>
              </w:rPr>
              <w:t xml:space="preserve"> </w:t>
            </w:r>
            <w:r w:rsidRPr="00BF32E4">
              <w:rPr>
                <w:rFonts w:asciiTheme="minorHAnsi" w:hAnsiTheme="minorHAnsi" w:cstheme="minorHAnsi"/>
                <w:sz w:val="22"/>
                <w:szCs w:val="22"/>
              </w:rPr>
              <w:t>wymaga, jaki charakter będzie miał opracowywany dokument (w przypadku uznania go za program rozwoju czy strategię rozwoju, należy zauważyć, że ww. ustawa przewiduje ścisłe regulacje dotyczące opracowywania, konsultowania czy ogłaszania takiego dokumentu, wobec czego przepisy projektu powinny być zgodne z regulacjami ogólnymi w tym zakresie)</w:t>
            </w:r>
            <w:r>
              <w:rPr>
                <w:rFonts w:asciiTheme="minorHAnsi" w:hAnsiTheme="minorHAnsi" w:cstheme="minorHAnsi"/>
                <w:sz w:val="22"/>
                <w:szCs w:val="22"/>
              </w:rPr>
              <w:t>;</w:t>
            </w:r>
          </w:p>
          <w:p w:rsidR="00BF32E4" w:rsidRDefault="00BF32E4" w:rsidP="00BF32E4">
            <w:pPr>
              <w:jc w:val="both"/>
              <w:rPr>
                <w:rFonts w:asciiTheme="minorHAnsi" w:hAnsiTheme="minorHAnsi" w:cstheme="minorHAnsi"/>
                <w:sz w:val="22"/>
                <w:szCs w:val="22"/>
              </w:rPr>
            </w:pPr>
            <w:r>
              <w:rPr>
                <w:rFonts w:asciiTheme="minorHAnsi" w:hAnsiTheme="minorHAnsi" w:cstheme="minorHAnsi"/>
                <w:sz w:val="22"/>
                <w:szCs w:val="22"/>
              </w:rPr>
              <w:t xml:space="preserve">4) </w:t>
            </w:r>
            <w:r w:rsidR="00601488">
              <w:rPr>
                <w:rFonts w:asciiTheme="minorHAnsi" w:hAnsiTheme="minorHAnsi" w:cstheme="minorHAnsi"/>
                <w:sz w:val="22"/>
                <w:szCs w:val="22"/>
              </w:rPr>
              <w:t>odnosząc się do uchylanego przepisu art. 12b, wskazać należy, że p</w:t>
            </w:r>
            <w:r w:rsidR="00601488" w:rsidRPr="00601488">
              <w:rPr>
                <w:rFonts w:asciiTheme="minorHAnsi" w:hAnsiTheme="minorHAnsi" w:cstheme="minorHAnsi"/>
                <w:sz w:val="22"/>
                <w:szCs w:val="22"/>
              </w:rPr>
              <w:t xml:space="preserve">rojektowana zmiana zakłada uchylenie przepisu art. 12b stanowiącego </w:t>
            </w:r>
            <w:r w:rsidR="00601488">
              <w:rPr>
                <w:rFonts w:asciiTheme="minorHAnsi" w:hAnsiTheme="minorHAnsi" w:cstheme="minorHAnsi"/>
                <w:sz w:val="22"/>
                <w:szCs w:val="22"/>
              </w:rPr>
              <w:t xml:space="preserve">o </w:t>
            </w:r>
            <w:r w:rsidR="00601488" w:rsidRPr="00601488">
              <w:rPr>
                <w:rFonts w:asciiTheme="minorHAnsi" w:hAnsiTheme="minorHAnsi" w:cstheme="minorHAnsi"/>
                <w:sz w:val="22"/>
                <w:szCs w:val="22"/>
              </w:rPr>
              <w:t>dokumencie – Program Zintegrowanej Informatyzacji Państwa. Jako, że dokument ten jest programem rozwoju a jego ostatnia zmiana przewidziała rozszerzenie jego funkcjonowania do końca roku 2023, co najmniej wyjaśnienia wymaga – wobec braku normowania tej materii w przepisach przejściowych – konsekwencja takiego uchylenia regulacji dla dalszych losów przedmiotowego programu rozwoju</w:t>
            </w:r>
            <w:r w:rsidR="00601488">
              <w:rPr>
                <w:rFonts w:asciiTheme="minorHAnsi" w:hAnsiTheme="minorHAnsi" w:cstheme="minorHAnsi"/>
                <w:sz w:val="22"/>
                <w:szCs w:val="22"/>
              </w:rPr>
              <w:t>;</w:t>
            </w:r>
          </w:p>
          <w:p w:rsidR="00601488" w:rsidRDefault="00601488" w:rsidP="003F0C89">
            <w:pPr>
              <w:jc w:val="both"/>
              <w:rPr>
                <w:rFonts w:asciiTheme="minorHAnsi" w:hAnsiTheme="minorHAnsi" w:cstheme="minorHAnsi"/>
                <w:sz w:val="22"/>
                <w:szCs w:val="22"/>
              </w:rPr>
            </w:pPr>
            <w:r>
              <w:rPr>
                <w:rFonts w:asciiTheme="minorHAnsi" w:hAnsiTheme="minorHAnsi" w:cstheme="minorHAnsi"/>
                <w:sz w:val="22"/>
                <w:szCs w:val="22"/>
              </w:rPr>
              <w:t xml:space="preserve">5) </w:t>
            </w:r>
            <w:r w:rsidR="003F0C89">
              <w:rPr>
                <w:rFonts w:asciiTheme="minorHAnsi" w:hAnsiTheme="minorHAnsi" w:cstheme="minorHAnsi"/>
                <w:sz w:val="22"/>
                <w:szCs w:val="22"/>
              </w:rPr>
              <w:t>m</w:t>
            </w:r>
            <w:r w:rsidR="003F0C89" w:rsidRPr="003F0C89">
              <w:rPr>
                <w:rFonts w:asciiTheme="minorHAnsi" w:hAnsiTheme="minorHAnsi" w:cstheme="minorHAnsi"/>
                <w:sz w:val="22"/>
                <w:szCs w:val="22"/>
              </w:rPr>
              <w:t xml:space="preserve">odyfikacja przepisu art. 12c ustawy wymaga wyraźnego uregulowania kwestii potencjalnych konkursów uregulowanych na zasadach określonych przepisami dotychczasowymi. Z uwagi na fakt, że środki finansowe na dofinansowanie projektów i </w:t>
            </w:r>
            <w:r w:rsidR="003F0C89" w:rsidRPr="003F0C89">
              <w:rPr>
                <w:rFonts w:asciiTheme="minorHAnsi" w:hAnsiTheme="minorHAnsi" w:cstheme="minorHAnsi"/>
                <w:sz w:val="22"/>
                <w:szCs w:val="22"/>
              </w:rPr>
              <w:lastRenderedPageBreak/>
              <w:t>przedsięwzięć, o których mowa w zmienianych przepisach, są przekazywane podmiotowi, którego wniosek o dofinansowanie został wyłoniony w drodze konkursu, w formie dotacji celowej, na podstawie umowy zawartej między ministrem właściwym do spraw informatyzacji a tym podmiotem, wyjaśnienia (i ewentualnego uregulowania w przepisach) wymagają także konsekwencje projektowanych zmian dla zawartych umów oraz przeznaczenia środków finansowych w ramach dotacji</w:t>
            </w:r>
            <w:r w:rsidR="003F0C89">
              <w:rPr>
                <w:rFonts w:asciiTheme="minorHAnsi" w:hAnsiTheme="minorHAnsi" w:cstheme="minorHAnsi"/>
                <w:sz w:val="22"/>
                <w:szCs w:val="22"/>
              </w:rPr>
              <w:t>;</w:t>
            </w:r>
          </w:p>
          <w:p w:rsidR="003F0C89" w:rsidRDefault="003F0C89" w:rsidP="003F0C89">
            <w:pPr>
              <w:jc w:val="both"/>
              <w:rPr>
                <w:rFonts w:asciiTheme="minorHAnsi" w:hAnsiTheme="minorHAnsi" w:cstheme="minorHAnsi"/>
                <w:sz w:val="22"/>
                <w:szCs w:val="22"/>
              </w:rPr>
            </w:pPr>
            <w:r>
              <w:rPr>
                <w:rFonts w:asciiTheme="minorHAnsi" w:hAnsiTheme="minorHAnsi" w:cstheme="minorHAnsi"/>
                <w:sz w:val="22"/>
                <w:szCs w:val="22"/>
              </w:rPr>
              <w:t xml:space="preserve">6) </w:t>
            </w:r>
            <w:r w:rsidR="00D94A31">
              <w:rPr>
                <w:rFonts w:asciiTheme="minorHAnsi" w:hAnsiTheme="minorHAnsi" w:cstheme="minorHAnsi"/>
                <w:sz w:val="22"/>
                <w:szCs w:val="22"/>
              </w:rPr>
              <w:t>w przypadku art. 19 pkt 10 projektowanej ustawy zauważ</w:t>
            </w:r>
            <w:r w:rsidR="00957167">
              <w:rPr>
                <w:rFonts w:asciiTheme="minorHAnsi" w:hAnsiTheme="minorHAnsi" w:cstheme="minorHAnsi"/>
                <w:sz w:val="22"/>
                <w:szCs w:val="22"/>
              </w:rPr>
              <w:t>enia wymaga</w:t>
            </w:r>
            <w:r w:rsidR="00D94A31">
              <w:rPr>
                <w:rFonts w:asciiTheme="minorHAnsi" w:hAnsiTheme="minorHAnsi" w:cstheme="minorHAnsi"/>
                <w:sz w:val="22"/>
                <w:szCs w:val="22"/>
              </w:rPr>
              <w:t>, że przedmiotowa zmiana w art. 12h ustawy o informatyzacji dotyczy z</w:t>
            </w:r>
            <w:r w:rsidR="00D94A31" w:rsidRPr="00D94A31">
              <w:rPr>
                <w:rFonts w:asciiTheme="minorHAnsi" w:hAnsiTheme="minorHAnsi" w:cstheme="minorHAnsi"/>
                <w:sz w:val="22"/>
                <w:szCs w:val="22"/>
              </w:rPr>
              <w:t xml:space="preserve">miany w zakresie upoważnienia ustawowego, </w:t>
            </w:r>
            <w:r w:rsidR="00D94A31">
              <w:rPr>
                <w:rFonts w:asciiTheme="minorHAnsi" w:hAnsiTheme="minorHAnsi" w:cstheme="minorHAnsi"/>
                <w:sz w:val="22"/>
                <w:szCs w:val="22"/>
              </w:rPr>
              <w:t xml:space="preserve">co, w opinii </w:t>
            </w:r>
            <w:r w:rsidR="00957167">
              <w:rPr>
                <w:rFonts w:asciiTheme="minorHAnsi" w:hAnsiTheme="minorHAnsi" w:cstheme="minorHAnsi"/>
                <w:sz w:val="22"/>
                <w:szCs w:val="22"/>
              </w:rPr>
              <w:t>Rządowego Centrum Legislacji</w:t>
            </w:r>
            <w:r w:rsidR="00D94A31" w:rsidRPr="00D94A31">
              <w:rPr>
                <w:rFonts w:asciiTheme="minorHAnsi" w:hAnsiTheme="minorHAnsi" w:cstheme="minorHAnsi"/>
                <w:sz w:val="22"/>
                <w:szCs w:val="22"/>
              </w:rPr>
              <w:t>, spowoduj</w:t>
            </w:r>
            <w:r w:rsidR="00D94A31">
              <w:rPr>
                <w:rFonts w:asciiTheme="minorHAnsi" w:hAnsiTheme="minorHAnsi" w:cstheme="minorHAnsi"/>
                <w:sz w:val="22"/>
                <w:szCs w:val="22"/>
              </w:rPr>
              <w:t>e</w:t>
            </w:r>
            <w:r w:rsidR="00D94A31" w:rsidRPr="00D94A31">
              <w:rPr>
                <w:rFonts w:asciiTheme="minorHAnsi" w:hAnsiTheme="minorHAnsi" w:cstheme="minorHAnsi"/>
                <w:sz w:val="22"/>
                <w:szCs w:val="22"/>
              </w:rPr>
              <w:t xml:space="preserve"> utratę mocy rozporządzenia wydanego na podstawie art. 12h ustawy o informatyzacji. </w:t>
            </w:r>
            <w:r w:rsidR="00957167">
              <w:rPr>
                <w:rFonts w:asciiTheme="minorHAnsi" w:hAnsiTheme="minorHAnsi" w:cstheme="minorHAnsi"/>
                <w:sz w:val="22"/>
                <w:szCs w:val="22"/>
              </w:rPr>
              <w:t>Tym samym n</w:t>
            </w:r>
            <w:r w:rsidR="00D94A31" w:rsidRPr="00D94A31">
              <w:rPr>
                <w:rFonts w:asciiTheme="minorHAnsi" w:hAnsiTheme="minorHAnsi" w:cstheme="minorHAnsi"/>
                <w:sz w:val="22"/>
                <w:szCs w:val="22"/>
              </w:rPr>
              <w:t>ie jest zasadnym utrzymywanie przez okres 12 miesięcy od dnia wejścia zmian w życie, dotychczasowego aktu wykonawczego (art. 40 projektu) – materia ta nie będzie bowiem zgodna z projektowanymi regulacjami</w:t>
            </w:r>
            <w:r w:rsidR="002A70FB">
              <w:rPr>
                <w:rFonts w:asciiTheme="minorHAnsi" w:hAnsiTheme="minorHAnsi" w:cstheme="minorHAnsi"/>
                <w:sz w:val="22"/>
                <w:szCs w:val="22"/>
              </w:rPr>
              <w:t>;</w:t>
            </w:r>
          </w:p>
          <w:p w:rsidR="00275490" w:rsidRPr="00275490" w:rsidRDefault="00E35E14" w:rsidP="00275490">
            <w:pPr>
              <w:jc w:val="both"/>
              <w:rPr>
                <w:rFonts w:asciiTheme="minorHAnsi" w:hAnsiTheme="minorHAnsi" w:cstheme="minorHAnsi"/>
                <w:sz w:val="22"/>
                <w:szCs w:val="22"/>
              </w:rPr>
            </w:pPr>
            <w:r>
              <w:rPr>
                <w:rFonts w:asciiTheme="minorHAnsi" w:hAnsiTheme="minorHAnsi" w:cstheme="minorHAnsi"/>
                <w:sz w:val="22"/>
                <w:szCs w:val="22"/>
              </w:rPr>
              <w:t>7)</w:t>
            </w:r>
            <w:r w:rsidR="00275490" w:rsidRPr="00275490">
              <w:rPr>
                <w:rFonts w:asciiTheme="minorHAnsi" w:hAnsiTheme="minorHAnsi" w:cstheme="minorHAnsi"/>
                <w:sz w:val="22"/>
                <w:szCs w:val="22"/>
              </w:rPr>
              <w:t xml:space="preserve"> w przypadku dodawanego art. 12j:</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a) ust. 1 - przesądzenia wymaga, czym ma być tworzony </w:t>
            </w:r>
            <w:r w:rsidR="00957167">
              <w:rPr>
                <w:rFonts w:asciiTheme="minorHAnsi" w:hAnsiTheme="minorHAnsi" w:cstheme="minorHAnsi"/>
                <w:sz w:val="22"/>
                <w:szCs w:val="22"/>
              </w:rPr>
              <w:t xml:space="preserve">w </w:t>
            </w:r>
            <w:r w:rsidRPr="00275490">
              <w:rPr>
                <w:rFonts w:asciiTheme="minorHAnsi" w:hAnsiTheme="minorHAnsi" w:cstheme="minorHAnsi"/>
                <w:sz w:val="22"/>
                <w:szCs w:val="22"/>
              </w:rPr>
              <w:t>art. 12j i nast. „katalog podmiotów publicznych”. Analiza przepisów wskazuje, że w rzeczywistości taki katalog może być rejestrem publicznym (stąd dla jego określenia proponuje się użycie nazwy rejestru podmiotów publicznych); zasadnym wydaje się także uzupełnienie przepisów o kwestię jawności rejestru – dostępu do danych w nim zgormadzonych. Przykładowo – przepis art. 12j ust. 5 stanowi o udostępnianiu danych z katalogu podmiotom publicznym. Nie jest jasne, czy dostęp jest „wolny”, czy wymaga dodatkowych czynności – wniosku, etc. Przepisy nie przesądzają także, czy przewiduje się otwarty dostęp do wszystkich danych w nim zawartych, czy tylko do niektórych, w pozostałym zakresie zaś obwarowany określonymi warunkami. Biorąc pod uwagę cel, któremu ma służyć wprowadzana materia – aktualna informacja o podmiotach publicznych, kwestie powyższe muszą zostać jasno określone w projektowanych regulacjach,</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b) ust. 2 </w:t>
            </w:r>
            <w:proofErr w:type="gramStart"/>
            <w:r w:rsidRPr="00275490">
              <w:rPr>
                <w:rFonts w:asciiTheme="minorHAnsi" w:hAnsiTheme="minorHAnsi" w:cstheme="minorHAnsi"/>
                <w:sz w:val="22"/>
                <w:szCs w:val="22"/>
              </w:rPr>
              <w:t>-  regulacja</w:t>
            </w:r>
            <w:proofErr w:type="gramEnd"/>
            <w:r w:rsidRPr="00275490">
              <w:rPr>
                <w:rFonts w:asciiTheme="minorHAnsi" w:hAnsiTheme="minorHAnsi" w:cstheme="minorHAnsi"/>
                <w:sz w:val="22"/>
                <w:szCs w:val="22"/>
              </w:rPr>
              <w:t xml:space="preserve"> nie ma charakteru normatywnego, wobec czego informacje w niej zawarte powinny stanowić materię uzasadnienia projektu,</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c) ust. 6 - regulacja wymaga dookreślenia w zakresie, w jakim wskazuje na konieczność dokonania zgłoszenia do katalogu (podstawowe elementy trybu należy uregulować na poziomie ustawowym, szczegółowe kwestie – ewentualnie w </w:t>
            </w:r>
            <w:r w:rsidR="00957167">
              <w:rPr>
                <w:rFonts w:asciiTheme="minorHAnsi" w:hAnsiTheme="minorHAnsi" w:cstheme="minorHAnsi"/>
                <w:sz w:val="22"/>
                <w:szCs w:val="22"/>
              </w:rPr>
              <w:t>ak</w:t>
            </w:r>
            <w:r w:rsidRPr="00275490">
              <w:rPr>
                <w:rFonts w:asciiTheme="minorHAnsi" w:hAnsiTheme="minorHAnsi" w:cstheme="minorHAnsi"/>
                <w:sz w:val="22"/>
                <w:szCs w:val="22"/>
              </w:rPr>
              <w:t>cie wykonawczym wydawanym na podstawie art. 12n),</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d) mając na uwadze przepis ust. 7 – proponuje się uzupełnić przepis art. 12j o regulację dotyczącą administratora sytemu teleinformatycznego, w którym prowadzony ma być katalog;</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8) w przypadku art. 12k:</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a) przepisy projektu należy uzupełnić o wyraźne określenie danych, które mają być przekazywane przed podmioty publiczne. Zauważenia wymaga, że ust. 2 art. 12k – jako </w:t>
            </w:r>
            <w:r w:rsidRPr="00275490">
              <w:rPr>
                <w:rFonts w:asciiTheme="minorHAnsi" w:hAnsiTheme="minorHAnsi" w:cstheme="minorHAnsi"/>
                <w:sz w:val="22"/>
                <w:szCs w:val="22"/>
              </w:rPr>
              <w:lastRenderedPageBreak/>
              <w:t>jedną z kategorii danych – wskazuje dane automatycznie przekazywane z poszczególnych rejestrów, systemów czy baz (dodatkowo wyjaśnienia wymaga także, czy systemy będą zintegrowane). W tej mierze niejasne bowiem pozostaje, czy inne dane, nieobjęte ww. katalogiem, mają być wprowadzane / przekazywane przez podmiot publiczny do katalogu,</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b) odnosząc się do zakresu danych zawartych w krajowym rejestrze urzędowym podmiotów gospodarki narodowej – art. 42 ustawy o statystyce publicznej, należy mieć na uwadze, iż automatyczne przekazanie danych do katalogu podmiotów publicznych z tego rejestru, musi być poprzedzone występowaniem danej w tym rejestrze. Wobec powyższego należy poddać projektowane przepisy art. 12k ust. 2 ponownej analizie, z uwagi na fakt, iż wydaje się, że nie każda z danych zamieszczona w ww. przepisie w rzeczywistości gromadzona jest w takim rejestrze. (np. forma finansowania, kod podmiotu);</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9) w przypadku art. 12m ust. 1 – wyjaśnienia wymaga, kto i w jakim trybie wskazuje osoby fizyczne do realizacji czynności w systemach teleinformatycznych zintegrowanych z katalogiem podmiotów publicznych, a których dane, w tym nr PESEL, będą przetwarzane w tym katalogu;</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10) przepis upoważniający zawarty w art. 12n w zakresie pkt 2 wydaje się mieć charakter blankietowy. Wobec czego projektowana regulacja wymaga ponownej analizy i niezbędnego uzupełnienia; w przypadku pkt 1 – zasadność regulacji </w:t>
            </w:r>
            <w:proofErr w:type="spellStart"/>
            <w:r w:rsidRPr="00275490">
              <w:rPr>
                <w:rFonts w:asciiTheme="minorHAnsi" w:hAnsiTheme="minorHAnsi" w:cstheme="minorHAnsi"/>
                <w:sz w:val="22"/>
                <w:szCs w:val="22"/>
              </w:rPr>
              <w:t>podustawowej</w:t>
            </w:r>
            <w:proofErr w:type="spellEnd"/>
            <w:r w:rsidRPr="00275490">
              <w:rPr>
                <w:rFonts w:asciiTheme="minorHAnsi" w:hAnsiTheme="minorHAnsi" w:cstheme="minorHAnsi"/>
                <w:sz w:val="22"/>
                <w:szCs w:val="22"/>
              </w:rPr>
              <w:t xml:space="preserve"> wynikać będzie z ujęcia tej kwestii w przepisach ustawy. W przypadku jednoznacznego określenia w ustawie danych podmiotów gromadzonych w katalogu – rozważyć należy zasadność jego </w:t>
            </w:r>
            <w:proofErr w:type="spellStart"/>
            <w:r w:rsidRPr="00275490">
              <w:rPr>
                <w:rFonts w:asciiTheme="minorHAnsi" w:hAnsiTheme="minorHAnsi" w:cstheme="minorHAnsi"/>
                <w:sz w:val="22"/>
                <w:szCs w:val="22"/>
              </w:rPr>
              <w:t>doszczegóławiania</w:t>
            </w:r>
            <w:proofErr w:type="spellEnd"/>
            <w:r w:rsidRPr="00275490">
              <w:rPr>
                <w:rFonts w:asciiTheme="minorHAnsi" w:hAnsiTheme="minorHAnsi" w:cstheme="minorHAnsi"/>
                <w:sz w:val="22"/>
                <w:szCs w:val="22"/>
              </w:rPr>
              <w:t xml:space="preserve"> przepisami rozporządzenia; korekty wymagają także wytyczne do upoważnienia – obecnie mają one charakter wytycznych pozornych;</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 xml:space="preserve">11) zmiany przewidziane w art. 17 dotyczącym funkcjonowania Rady do Spraw Cyfryzacji zakładają tylko modyfikację przepisów dotyczących uzupełniania składu Rady czy kwestii kadencyjności jej członków. Nie przewiduje się natomiast zmiany przepisów dotyczących zadań Rady. Zgodnie z art. 17 ust. 2 pkt 1a jednym z zadań Rady jest obecnie opiniowanie projektu Programu Zintegrowanej Informatyzacji Państwa oraz innych dokumentów rządowych dotyczących spraw informatyzacji, łączności lub rozwoju społeczeństwa informacyjnego. Wcześniejsze zmiany ustawy o informatyzacji skupiają się na uchyleniu podstawy prawnej do wydania uchwały Rady Ministrów dot. Programu Zintegrowanej Informatyzacji Państwa – uchylenie art. 12b – będącej programem rozwoju. Z drugiej strony nie nowelizuje się przepisu w zakresie zadania Rady do opiniowania takiego dokumentu, co wymaga skorygowania. </w:t>
            </w:r>
            <w:r w:rsidR="00327979">
              <w:rPr>
                <w:rFonts w:asciiTheme="minorHAnsi" w:hAnsiTheme="minorHAnsi" w:cstheme="minorHAnsi"/>
                <w:sz w:val="22"/>
                <w:szCs w:val="22"/>
              </w:rPr>
              <w:t>Ponadto w</w:t>
            </w:r>
            <w:r w:rsidRPr="00275490">
              <w:rPr>
                <w:rFonts w:asciiTheme="minorHAnsi" w:hAnsiTheme="minorHAnsi" w:cstheme="minorHAnsi"/>
                <w:sz w:val="22"/>
                <w:szCs w:val="22"/>
              </w:rPr>
              <w:t xml:space="preserve">ydaje się, iż Rada – jako organ opiniodawczo-doradczy ministra właściwego do spraw informatyzacji – powinna opiniować projekt strategii dotyczącej transformacji cyfrowej, </w:t>
            </w:r>
            <w:r w:rsidRPr="00275490">
              <w:rPr>
                <w:rFonts w:asciiTheme="minorHAnsi" w:hAnsiTheme="minorHAnsi" w:cstheme="minorHAnsi"/>
                <w:sz w:val="22"/>
                <w:szCs w:val="22"/>
              </w:rPr>
              <w:lastRenderedPageBreak/>
              <w:t>wprowadzanej na podstawie projektowanego art. 12aa ustawy o informatyzacji. Przepisy wymagają analizy w tym zakresie i odpowiedniego uzupełnienia (jeżeli projekt takiej strategii miałby nie wpisywać się w zakres dokumentów dotyczących spraw informatyzacji lub rozwoju społeczeństwa informacyjnego określonych obecnie w art. 17 ust. 2 pkt 1a ustawy);</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12) uchylenie rozdziału 3b spowoduje konieczność analizy zasadności dodania przepisu przejściowego dotyczącego porozumień, które mogły być zawierane na podstawie art. 20r. Zgodnie tym przepisem, minister właściwy do spraw informatyzacji zawiera porozumienie w sprawie wykorzystywania zintegrowanej platformy analitycznej z podmiotem publicznym na potrzeby kluczowej polityki publicznej.</w:t>
            </w:r>
          </w:p>
          <w:p w:rsidR="00275490" w:rsidRPr="00275490"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W sytuacji, gdyby takie porozumienia zostały zawarte, konieczne jest uregulowanie ich bytu prawnego w ww. przepisach przejściowych projektu ustawy;</w:t>
            </w:r>
          </w:p>
          <w:p w:rsidR="00E35E14" w:rsidRDefault="00275490" w:rsidP="00275490">
            <w:pPr>
              <w:jc w:val="both"/>
              <w:rPr>
                <w:rFonts w:asciiTheme="minorHAnsi" w:hAnsiTheme="minorHAnsi" w:cstheme="minorHAnsi"/>
                <w:sz w:val="22"/>
                <w:szCs w:val="22"/>
              </w:rPr>
            </w:pPr>
            <w:r w:rsidRPr="00275490">
              <w:rPr>
                <w:rFonts w:asciiTheme="minorHAnsi" w:hAnsiTheme="minorHAnsi" w:cstheme="minorHAnsi"/>
                <w:sz w:val="22"/>
                <w:szCs w:val="22"/>
              </w:rPr>
              <w:t>1</w:t>
            </w:r>
            <w:r w:rsidR="000F5275">
              <w:rPr>
                <w:rFonts w:asciiTheme="minorHAnsi" w:hAnsiTheme="minorHAnsi" w:cstheme="minorHAnsi"/>
                <w:sz w:val="22"/>
                <w:szCs w:val="22"/>
              </w:rPr>
              <w:t>3</w:t>
            </w:r>
            <w:r w:rsidRPr="00275490">
              <w:rPr>
                <w:rFonts w:asciiTheme="minorHAnsi" w:hAnsiTheme="minorHAnsi" w:cstheme="minorHAnsi"/>
                <w:sz w:val="22"/>
                <w:szCs w:val="22"/>
              </w:rPr>
              <w:t>)</w:t>
            </w:r>
            <w:r w:rsidR="00A94814">
              <w:t xml:space="preserve"> </w:t>
            </w:r>
            <w:r w:rsidR="00A94814" w:rsidRPr="00A94814">
              <w:rPr>
                <w:rFonts w:asciiTheme="minorHAnsi" w:hAnsiTheme="minorHAnsi" w:cstheme="minorHAnsi"/>
                <w:sz w:val="22"/>
                <w:szCs w:val="22"/>
              </w:rPr>
              <w:t xml:space="preserve">wskazać trzeba, że </w:t>
            </w:r>
            <w:r w:rsidR="003C643A">
              <w:rPr>
                <w:rFonts w:asciiTheme="minorHAnsi" w:hAnsiTheme="minorHAnsi" w:cstheme="minorHAnsi"/>
                <w:sz w:val="22"/>
                <w:szCs w:val="22"/>
              </w:rPr>
              <w:t xml:space="preserve">przepisy </w:t>
            </w:r>
            <w:r w:rsidR="00A94814" w:rsidRPr="003C643A">
              <w:rPr>
                <w:rFonts w:asciiTheme="minorHAnsi" w:hAnsiTheme="minorHAnsi" w:cstheme="minorHAnsi"/>
                <w:i/>
                <w:sz w:val="22"/>
                <w:szCs w:val="22"/>
              </w:rPr>
              <w:t>projekt</w:t>
            </w:r>
            <w:r w:rsidR="003C643A">
              <w:rPr>
                <w:rFonts w:asciiTheme="minorHAnsi" w:hAnsiTheme="minorHAnsi" w:cstheme="minorHAnsi"/>
                <w:i/>
                <w:sz w:val="22"/>
                <w:szCs w:val="22"/>
              </w:rPr>
              <w:t>u</w:t>
            </w:r>
            <w:r w:rsidR="00A94814" w:rsidRPr="003C643A">
              <w:rPr>
                <w:rFonts w:asciiTheme="minorHAnsi" w:hAnsiTheme="minorHAnsi" w:cstheme="minorHAnsi"/>
                <w:i/>
                <w:sz w:val="22"/>
                <w:szCs w:val="22"/>
              </w:rPr>
              <w:t xml:space="preserve"> ustawy o aplikacji </w:t>
            </w:r>
            <w:proofErr w:type="spellStart"/>
            <w:r w:rsidR="00A94814" w:rsidRPr="003C643A">
              <w:rPr>
                <w:rFonts w:asciiTheme="minorHAnsi" w:hAnsiTheme="minorHAnsi" w:cstheme="minorHAnsi"/>
                <w:i/>
                <w:sz w:val="22"/>
                <w:szCs w:val="22"/>
              </w:rPr>
              <w:t>mObywatel</w:t>
            </w:r>
            <w:proofErr w:type="spellEnd"/>
            <w:r w:rsidR="00A94814" w:rsidRPr="00A94814">
              <w:rPr>
                <w:rFonts w:asciiTheme="minorHAnsi" w:hAnsiTheme="minorHAnsi" w:cstheme="minorHAnsi"/>
                <w:sz w:val="22"/>
                <w:szCs w:val="22"/>
              </w:rPr>
              <w:t xml:space="preserve"> </w:t>
            </w:r>
            <w:r w:rsidR="003C643A" w:rsidRPr="003C643A">
              <w:rPr>
                <w:rFonts w:asciiTheme="minorHAnsi" w:hAnsiTheme="minorHAnsi" w:cstheme="minorHAnsi"/>
                <w:sz w:val="22"/>
                <w:szCs w:val="22"/>
              </w:rPr>
              <w:t>będące</w:t>
            </w:r>
            <w:r w:rsidR="003C643A">
              <w:rPr>
                <w:rFonts w:asciiTheme="minorHAnsi" w:hAnsiTheme="minorHAnsi" w:cstheme="minorHAnsi"/>
                <w:sz w:val="22"/>
                <w:szCs w:val="22"/>
              </w:rPr>
              <w:t>go</w:t>
            </w:r>
            <w:r w:rsidR="003C643A" w:rsidRPr="003C643A">
              <w:rPr>
                <w:rFonts w:asciiTheme="minorHAnsi" w:hAnsiTheme="minorHAnsi" w:cstheme="minorHAnsi"/>
                <w:sz w:val="22"/>
                <w:szCs w:val="22"/>
              </w:rPr>
              <w:t xml:space="preserve"> obecnie przedmiotem prac Senatu Rzeczypospolitej Polskiej (druk senacki nr 943), </w:t>
            </w:r>
            <w:r w:rsidR="00A94814" w:rsidRPr="00A94814">
              <w:rPr>
                <w:rFonts w:asciiTheme="minorHAnsi" w:hAnsiTheme="minorHAnsi" w:cstheme="minorHAnsi"/>
                <w:sz w:val="22"/>
                <w:szCs w:val="22"/>
              </w:rPr>
              <w:t>uchyla</w:t>
            </w:r>
            <w:r w:rsidR="003C643A">
              <w:rPr>
                <w:rFonts w:asciiTheme="minorHAnsi" w:hAnsiTheme="minorHAnsi" w:cstheme="minorHAnsi"/>
                <w:sz w:val="22"/>
                <w:szCs w:val="22"/>
              </w:rPr>
              <w:t>ją</w:t>
            </w:r>
            <w:r w:rsidR="00A94814" w:rsidRPr="00A94814">
              <w:rPr>
                <w:rFonts w:asciiTheme="minorHAnsi" w:hAnsiTheme="minorHAnsi" w:cstheme="minorHAnsi"/>
                <w:sz w:val="22"/>
                <w:szCs w:val="22"/>
              </w:rPr>
              <w:t xml:space="preserve"> przepisy dotyczące publicznej aplikacji mobilnej (art. 19e i nast. tej ustawy)</w:t>
            </w:r>
            <w:r w:rsidR="003C643A">
              <w:rPr>
                <w:rFonts w:asciiTheme="minorHAnsi" w:hAnsiTheme="minorHAnsi" w:cstheme="minorHAnsi"/>
                <w:sz w:val="22"/>
                <w:szCs w:val="22"/>
              </w:rPr>
              <w:t>.</w:t>
            </w:r>
            <w:r w:rsidR="00A94814" w:rsidRPr="00A94814">
              <w:rPr>
                <w:rFonts w:asciiTheme="minorHAnsi" w:hAnsiTheme="minorHAnsi" w:cstheme="minorHAnsi"/>
                <w:sz w:val="22"/>
                <w:szCs w:val="22"/>
              </w:rPr>
              <w:t xml:space="preserve"> </w:t>
            </w:r>
            <w:r w:rsidR="003C643A">
              <w:rPr>
                <w:rFonts w:asciiTheme="minorHAnsi" w:hAnsiTheme="minorHAnsi" w:cstheme="minorHAnsi"/>
                <w:sz w:val="22"/>
                <w:szCs w:val="22"/>
              </w:rPr>
              <w:t>M</w:t>
            </w:r>
            <w:r w:rsidR="00A94814" w:rsidRPr="00A94814">
              <w:rPr>
                <w:rFonts w:asciiTheme="minorHAnsi" w:hAnsiTheme="minorHAnsi" w:cstheme="minorHAnsi"/>
                <w:sz w:val="22"/>
                <w:szCs w:val="22"/>
              </w:rPr>
              <w:t>ając na uwadze zaawansowany proces legislacyjny tego projektu ustawy, Rządowe Centrum Legislacji zwraca uwagę na konieczność wprowadzenia ewentualnych modyfikacji do przedstawionego projektu w tym zakresi</w:t>
            </w:r>
            <w:r w:rsidR="003C643A">
              <w:rPr>
                <w:rFonts w:asciiTheme="minorHAnsi" w:hAnsiTheme="minorHAnsi" w:cstheme="minorHAnsi"/>
                <w:sz w:val="22"/>
                <w:szCs w:val="22"/>
              </w:rPr>
              <w:t>e;</w:t>
            </w:r>
          </w:p>
          <w:p w:rsidR="003E26C2" w:rsidRDefault="003C643A" w:rsidP="00275490">
            <w:pPr>
              <w:jc w:val="both"/>
              <w:rPr>
                <w:rFonts w:asciiTheme="minorHAnsi" w:hAnsiTheme="minorHAnsi" w:cstheme="minorHAnsi"/>
                <w:sz w:val="22"/>
                <w:szCs w:val="22"/>
              </w:rPr>
            </w:pPr>
            <w:r>
              <w:rPr>
                <w:rFonts w:asciiTheme="minorHAnsi" w:hAnsiTheme="minorHAnsi" w:cstheme="minorHAnsi"/>
                <w:sz w:val="22"/>
                <w:szCs w:val="22"/>
              </w:rPr>
              <w:t xml:space="preserve">14) </w:t>
            </w:r>
            <w:r w:rsidR="003E26C2">
              <w:rPr>
                <w:rFonts w:asciiTheme="minorHAnsi" w:hAnsiTheme="minorHAnsi" w:cstheme="minorHAnsi"/>
                <w:sz w:val="22"/>
                <w:szCs w:val="22"/>
              </w:rPr>
              <w:t>odnosząc się do projektowanego art. 19ab:</w:t>
            </w:r>
          </w:p>
          <w:p w:rsidR="003C643A" w:rsidRDefault="003E26C2" w:rsidP="00275490">
            <w:pPr>
              <w:jc w:val="both"/>
              <w:rPr>
                <w:rFonts w:asciiTheme="minorHAnsi" w:hAnsiTheme="minorHAnsi" w:cstheme="minorHAnsi"/>
                <w:sz w:val="22"/>
                <w:szCs w:val="22"/>
              </w:rPr>
            </w:pPr>
            <w:r>
              <w:rPr>
                <w:rFonts w:asciiTheme="minorHAnsi" w:hAnsiTheme="minorHAnsi" w:cstheme="minorHAnsi"/>
                <w:sz w:val="22"/>
                <w:szCs w:val="22"/>
              </w:rPr>
              <w:t>a) ust. 7 - Rządowe Centrum Legislacji zauważa, że ogólne kwestie dotyczące zakresu, sposobu i trybu przekazywania danych powinny znaleźć się w przepisach rangi ustawowej, a nie być regulowane w drodze porozumień,</w:t>
            </w:r>
          </w:p>
          <w:p w:rsidR="003E26C2" w:rsidRDefault="003E26C2" w:rsidP="00275490">
            <w:pPr>
              <w:jc w:val="both"/>
              <w:rPr>
                <w:rFonts w:asciiTheme="minorHAnsi" w:hAnsiTheme="minorHAnsi" w:cstheme="minorHAnsi"/>
                <w:sz w:val="22"/>
                <w:szCs w:val="22"/>
              </w:rPr>
            </w:pPr>
            <w:r>
              <w:rPr>
                <w:rFonts w:asciiTheme="minorHAnsi" w:hAnsiTheme="minorHAnsi" w:cstheme="minorHAnsi"/>
                <w:sz w:val="22"/>
                <w:szCs w:val="22"/>
              </w:rPr>
              <w:t>b) ust. 8 – doprecyzowania wymaga tryb określania ogólnych warunków udostępniania usług online i sposób ich „ogłaszania”,</w:t>
            </w:r>
          </w:p>
          <w:p w:rsidR="003E26C2" w:rsidRDefault="003E26C2" w:rsidP="00275490">
            <w:pPr>
              <w:jc w:val="both"/>
              <w:rPr>
                <w:rFonts w:asciiTheme="minorHAnsi" w:hAnsiTheme="minorHAnsi" w:cstheme="minorHAnsi"/>
                <w:sz w:val="22"/>
                <w:szCs w:val="22"/>
              </w:rPr>
            </w:pPr>
            <w:r>
              <w:rPr>
                <w:rFonts w:asciiTheme="minorHAnsi" w:hAnsiTheme="minorHAnsi" w:cstheme="minorHAnsi"/>
                <w:sz w:val="22"/>
                <w:szCs w:val="22"/>
              </w:rPr>
              <w:t>c) ust. 10 – wyjaśnienia wymaga, w jakim systemie ministra tworzone jest konto podmiotu;</w:t>
            </w:r>
          </w:p>
          <w:p w:rsidR="00616F05" w:rsidRDefault="00BD653E" w:rsidP="00275490">
            <w:pPr>
              <w:jc w:val="both"/>
              <w:rPr>
                <w:rFonts w:asciiTheme="minorHAnsi" w:hAnsiTheme="minorHAnsi" w:cstheme="minorHAnsi"/>
                <w:sz w:val="22"/>
                <w:szCs w:val="22"/>
              </w:rPr>
            </w:pPr>
            <w:r>
              <w:rPr>
                <w:rFonts w:asciiTheme="minorHAnsi" w:hAnsiTheme="minorHAnsi" w:cstheme="minorHAnsi"/>
                <w:sz w:val="22"/>
                <w:szCs w:val="22"/>
              </w:rPr>
              <w:t xml:space="preserve">15) </w:t>
            </w:r>
            <w:r w:rsidR="00AB3718">
              <w:rPr>
                <w:rFonts w:asciiTheme="minorHAnsi" w:hAnsiTheme="minorHAnsi" w:cstheme="minorHAnsi"/>
                <w:sz w:val="22"/>
                <w:szCs w:val="22"/>
              </w:rPr>
              <w:t>w przypadku art. 19ad</w:t>
            </w:r>
            <w:r w:rsidR="00616F05">
              <w:rPr>
                <w:rFonts w:asciiTheme="minorHAnsi" w:hAnsiTheme="minorHAnsi" w:cstheme="minorHAnsi"/>
                <w:sz w:val="22"/>
                <w:szCs w:val="22"/>
              </w:rPr>
              <w:t>:</w:t>
            </w:r>
          </w:p>
          <w:p w:rsidR="003E26C2" w:rsidRDefault="00616F05" w:rsidP="00275490">
            <w:pPr>
              <w:jc w:val="both"/>
              <w:rPr>
                <w:rFonts w:asciiTheme="minorHAnsi" w:hAnsiTheme="minorHAnsi" w:cstheme="minorHAnsi"/>
                <w:sz w:val="22"/>
                <w:szCs w:val="22"/>
              </w:rPr>
            </w:pPr>
            <w:r>
              <w:rPr>
                <w:rFonts w:asciiTheme="minorHAnsi" w:hAnsiTheme="minorHAnsi" w:cstheme="minorHAnsi"/>
                <w:sz w:val="22"/>
                <w:szCs w:val="22"/>
              </w:rPr>
              <w:t>a)</w:t>
            </w:r>
            <w:r w:rsidR="00AB3718">
              <w:rPr>
                <w:rFonts w:asciiTheme="minorHAnsi" w:hAnsiTheme="minorHAnsi" w:cstheme="minorHAnsi"/>
                <w:sz w:val="22"/>
                <w:szCs w:val="22"/>
              </w:rPr>
              <w:t xml:space="preserve"> ust. 7 pkt 1 – wyjaśnienia wymaga przyczyna wyłączenia możliwości „udostępnienia” pełnomocnictwa przy jednoczesnej</w:t>
            </w:r>
            <w:r w:rsidR="00674D57">
              <w:rPr>
                <w:rFonts w:asciiTheme="minorHAnsi" w:hAnsiTheme="minorHAnsi" w:cstheme="minorHAnsi"/>
                <w:sz w:val="22"/>
                <w:szCs w:val="22"/>
              </w:rPr>
              <w:t xml:space="preserve"> nowelizacji</w:t>
            </w:r>
            <w:r w:rsidR="00AB3718">
              <w:rPr>
                <w:rFonts w:asciiTheme="minorHAnsi" w:hAnsiTheme="minorHAnsi" w:cstheme="minorHAnsi"/>
                <w:sz w:val="22"/>
                <w:szCs w:val="22"/>
              </w:rPr>
              <w:t xml:space="preserve"> </w:t>
            </w:r>
            <w:r w:rsidR="00246C67" w:rsidRPr="00246C67">
              <w:rPr>
                <w:rFonts w:asciiTheme="minorHAnsi" w:hAnsiTheme="minorHAnsi" w:cstheme="minorHAnsi"/>
                <w:sz w:val="22"/>
                <w:szCs w:val="22"/>
              </w:rPr>
              <w:t>art. 33 Kpa w zakresie dotyczącym pełnomocnictw. Zmiana art. 33 Kpa sugeruje, że pełnomocnictwo udzielone na podstawie art. 19a</w:t>
            </w:r>
            <w:r w:rsidR="00246C67">
              <w:rPr>
                <w:rFonts w:asciiTheme="minorHAnsi" w:hAnsiTheme="minorHAnsi" w:cstheme="minorHAnsi"/>
                <w:sz w:val="22"/>
                <w:szCs w:val="22"/>
              </w:rPr>
              <w:t>d</w:t>
            </w:r>
            <w:r w:rsidR="00246C67" w:rsidRPr="00246C67">
              <w:rPr>
                <w:rFonts w:asciiTheme="minorHAnsi" w:hAnsiTheme="minorHAnsi" w:cstheme="minorHAnsi"/>
                <w:sz w:val="22"/>
                <w:szCs w:val="22"/>
              </w:rPr>
              <w:t xml:space="preserve"> ust. 2</w:t>
            </w:r>
            <w:r w:rsidR="00246C67">
              <w:rPr>
                <w:rFonts w:asciiTheme="minorHAnsi" w:hAnsiTheme="minorHAnsi" w:cstheme="minorHAnsi"/>
                <w:sz w:val="22"/>
                <w:szCs w:val="22"/>
              </w:rPr>
              <w:t xml:space="preserve"> </w:t>
            </w:r>
            <w:r w:rsidR="00246C67" w:rsidRPr="00246C67">
              <w:rPr>
                <w:rFonts w:asciiTheme="minorHAnsi" w:hAnsiTheme="minorHAnsi" w:cstheme="minorHAnsi"/>
                <w:sz w:val="22"/>
                <w:szCs w:val="22"/>
              </w:rPr>
              <w:t>i 3 może umocowywać do działania w postępowaniu administracyjnym prowadzonym przed organem</w:t>
            </w:r>
            <w:r w:rsidR="00246C67">
              <w:rPr>
                <w:rFonts w:asciiTheme="minorHAnsi" w:hAnsiTheme="minorHAnsi" w:cstheme="minorHAnsi"/>
                <w:sz w:val="22"/>
                <w:szCs w:val="22"/>
              </w:rPr>
              <w:t xml:space="preserve"> administracji</w:t>
            </w:r>
            <w:r>
              <w:rPr>
                <w:rFonts w:asciiTheme="minorHAnsi" w:hAnsiTheme="minorHAnsi" w:cstheme="minorHAnsi"/>
                <w:sz w:val="22"/>
                <w:szCs w:val="22"/>
              </w:rPr>
              <w:t>,</w:t>
            </w:r>
          </w:p>
          <w:p w:rsidR="00616F05" w:rsidRDefault="00616F05" w:rsidP="00275490">
            <w:pPr>
              <w:jc w:val="both"/>
              <w:rPr>
                <w:rFonts w:asciiTheme="minorHAnsi" w:hAnsiTheme="minorHAnsi" w:cstheme="minorHAnsi"/>
                <w:sz w:val="22"/>
                <w:szCs w:val="22"/>
              </w:rPr>
            </w:pPr>
            <w:r>
              <w:rPr>
                <w:rFonts w:asciiTheme="minorHAnsi" w:hAnsiTheme="minorHAnsi" w:cstheme="minorHAnsi"/>
                <w:sz w:val="22"/>
                <w:szCs w:val="22"/>
              </w:rPr>
              <w:t>b)</w:t>
            </w:r>
            <w:r w:rsidR="00674D57">
              <w:rPr>
                <w:rFonts w:asciiTheme="minorHAnsi" w:hAnsiTheme="minorHAnsi" w:cstheme="minorHAnsi"/>
                <w:sz w:val="22"/>
                <w:szCs w:val="22"/>
              </w:rPr>
              <w:t xml:space="preserve"> </w:t>
            </w:r>
            <w:r>
              <w:rPr>
                <w:rFonts w:asciiTheme="minorHAnsi" w:hAnsiTheme="minorHAnsi" w:cstheme="minorHAnsi"/>
                <w:sz w:val="22"/>
                <w:szCs w:val="22"/>
              </w:rPr>
              <w:t xml:space="preserve">ust. 12 – wyjaśnienia wymaga czy </w:t>
            </w:r>
            <w:proofErr w:type="gramStart"/>
            <w:r>
              <w:rPr>
                <w:rFonts w:asciiTheme="minorHAnsi" w:hAnsiTheme="minorHAnsi" w:cstheme="minorHAnsi"/>
                <w:sz w:val="22"/>
                <w:szCs w:val="22"/>
              </w:rPr>
              <w:t>system</w:t>
            </w:r>
            <w:proofErr w:type="gramEnd"/>
            <w:r>
              <w:rPr>
                <w:rFonts w:asciiTheme="minorHAnsi" w:hAnsiTheme="minorHAnsi" w:cstheme="minorHAnsi"/>
                <w:sz w:val="22"/>
                <w:szCs w:val="22"/>
              </w:rPr>
              <w:t xml:space="preserve"> w którym prowadzony jest Rejestr Pełnomocnictw Elektronicznych dane o śmierci mocodawcy bądź pełnomocnika otrzymuje automatycznie z rejestru PESEL;</w:t>
            </w:r>
          </w:p>
          <w:p w:rsidR="00616F05" w:rsidRDefault="00616F05" w:rsidP="00275490">
            <w:pPr>
              <w:jc w:val="both"/>
              <w:rPr>
                <w:rFonts w:asciiTheme="minorHAnsi" w:hAnsiTheme="minorHAnsi" w:cstheme="minorHAnsi"/>
                <w:sz w:val="22"/>
                <w:szCs w:val="22"/>
              </w:rPr>
            </w:pPr>
            <w:r>
              <w:rPr>
                <w:rFonts w:asciiTheme="minorHAnsi" w:hAnsiTheme="minorHAnsi" w:cstheme="minorHAnsi"/>
                <w:sz w:val="22"/>
                <w:szCs w:val="22"/>
              </w:rPr>
              <w:t xml:space="preserve">16) w przypadku art. 19b ust. 4 – projektowana zmiana brzmienia ust. 4 usuwa </w:t>
            </w:r>
            <w:r w:rsidRPr="00616F05">
              <w:rPr>
                <w:rFonts w:asciiTheme="minorHAnsi" w:hAnsiTheme="minorHAnsi" w:cstheme="minorHAnsi"/>
                <w:sz w:val="22"/>
                <w:szCs w:val="22"/>
              </w:rPr>
              <w:t>ważn</w:t>
            </w:r>
            <w:r>
              <w:rPr>
                <w:rFonts w:asciiTheme="minorHAnsi" w:hAnsiTheme="minorHAnsi" w:cstheme="minorHAnsi"/>
                <w:sz w:val="22"/>
                <w:szCs w:val="22"/>
              </w:rPr>
              <w:t>ą</w:t>
            </w:r>
            <w:r w:rsidRPr="00616F05">
              <w:rPr>
                <w:rFonts w:asciiTheme="minorHAnsi" w:hAnsiTheme="minorHAnsi" w:cstheme="minorHAnsi"/>
                <w:sz w:val="22"/>
                <w:szCs w:val="22"/>
              </w:rPr>
              <w:t xml:space="preserve"> przesłank</w:t>
            </w:r>
            <w:r>
              <w:rPr>
                <w:rFonts w:asciiTheme="minorHAnsi" w:hAnsiTheme="minorHAnsi" w:cstheme="minorHAnsi"/>
                <w:sz w:val="22"/>
                <w:szCs w:val="22"/>
              </w:rPr>
              <w:t>ę</w:t>
            </w:r>
            <w:r w:rsidRPr="00616F05">
              <w:rPr>
                <w:rFonts w:asciiTheme="minorHAnsi" w:hAnsiTheme="minorHAnsi" w:cstheme="minorHAnsi"/>
                <w:sz w:val="22"/>
                <w:szCs w:val="22"/>
              </w:rPr>
              <w:t xml:space="preserve"> „Jeżeli wzór podania określają odrębne przepisy”. Obowiązek stosowania określonych wzorów dokumentów w post</w:t>
            </w:r>
            <w:r>
              <w:rPr>
                <w:rFonts w:asciiTheme="minorHAnsi" w:hAnsiTheme="minorHAnsi" w:cstheme="minorHAnsi"/>
                <w:sz w:val="22"/>
                <w:szCs w:val="22"/>
              </w:rPr>
              <w:t>ę</w:t>
            </w:r>
            <w:r w:rsidRPr="00616F05">
              <w:rPr>
                <w:rFonts w:asciiTheme="minorHAnsi" w:hAnsiTheme="minorHAnsi" w:cstheme="minorHAnsi"/>
                <w:sz w:val="22"/>
                <w:szCs w:val="22"/>
              </w:rPr>
              <w:t>powaniach przed organami należy opierać</w:t>
            </w:r>
            <w:r>
              <w:rPr>
                <w:rFonts w:asciiTheme="minorHAnsi" w:hAnsiTheme="minorHAnsi" w:cstheme="minorHAnsi"/>
                <w:sz w:val="22"/>
                <w:szCs w:val="22"/>
              </w:rPr>
              <w:t xml:space="preserve"> </w:t>
            </w:r>
            <w:r>
              <w:rPr>
                <w:rFonts w:asciiTheme="minorHAnsi" w:hAnsiTheme="minorHAnsi" w:cstheme="minorHAnsi"/>
                <w:sz w:val="22"/>
                <w:szCs w:val="22"/>
              </w:rPr>
              <w:lastRenderedPageBreak/>
              <w:t>bowiem</w:t>
            </w:r>
            <w:r w:rsidRPr="00616F05">
              <w:rPr>
                <w:rFonts w:asciiTheme="minorHAnsi" w:hAnsiTheme="minorHAnsi" w:cstheme="minorHAnsi"/>
                <w:sz w:val="22"/>
                <w:szCs w:val="22"/>
              </w:rPr>
              <w:t xml:space="preserve"> na przepisie prawa materialnego. Sama czynność faktyczna umieszczeni</w:t>
            </w:r>
            <w:r>
              <w:rPr>
                <w:rFonts w:asciiTheme="minorHAnsi" w:hAnsiTheme="minorHAnsi" w:cstheme="minorHAnsi"/>
                <w:sz w:val="22"/>
                <w:szCs w:val="22"/>
              </w:rPr>
              <w:t>a</w:t>
            </w:r>
            <w:r w:rsidRPr="00616F05">
              <w:rPr>
                <w:rFonts w:asciiTheme="minorHAnsi" w:hAnsiTheme="minorHAnsi" w:cstheme="minorHAnsi"/>
                <w:sz w:val="22"/>
                <w:szCs w:val="22"/>
              </w:rPr>
              <w:t xml:space="preserve"> wzoru dokumentu elektronicznego w repozytorium nie powinna nakładać obowiązku składania podań według takich wzorów. Ust. 4 spowoduje wprowadzenie do systemu prawa domniemania, że przepisy nakazują wnoszenia podań według określonego wzoru, jeżeli taki w</w:t>
            </w:r>
            <w:r w:rsidR="00674D57">
              <w:rPr>
                <w:rFonts w:asciiTheme="minorHAnsi" w:hAnsiTheme="minorHAnsi" w:cstheme="minorHAnsi"/>
                <w:sz w:val="22"/>
                <w:szCs w:val="22"/>
              </w:rPr>
              <w:t>z</w:t>
            </w:r>
            <w:r w:rsidRPr="00616F05">
              <w:rPr>
                <w:rFonts w:asciiTheme="minorHAnsi" w:hAnsiTheme="minorHAnsi" w:cstheme="minorHAnsi"/>
                <w:sz w:val="22"/>
                <w:szCs w:val="22"/>
              </w:rPr>
              <w:t>ór zostanie umieszczony w repozytorium</w:t>
            </w:r>
            <w:r w:rsidR="00B5396A">
              <w:rPr>
                <w:rFonts w:asciiTheme="minorHAnsi" w:hAnsiTheme="minorHAnsi" w:cstheme="minorHAnsi"/>
                <w:sz w:val="22"/>
                <w:szCs w:val="22"/>
              </w:rPr>
              <w:t>;</w:t>
            </w:r>
          </w:p>
          <w:p w:rsidR="00EB595A" w:rsidRDefault="00B5396A" w:rsidP="00275490">
            <w:pPr>
              <w:jc w:val="both"/>
              <w:rPr>
                <w:rFonts w:asciiTheme="minorHAnsi" w:hAnsiTheme="minorHAnsi" w:cstheme="minorHAnsi"/>
                <w:sz w:val="22"/>
                <w:szCs w:val="22"/>
              </w:rPr>
            </w:pPr>
            <w:r>
              <w:rPr>
                <w:rFonts w:asciiTheme="minorHAnsi" w:hAnsiTheme="minorHAnsi" w:cstheme="minorHAnsi"/>
                <w:sz w:val="22"/>
                <w:szCs w:val="22"/>
              </w:rPr>
              <w:t xml:space="preserve">17) </w:t>
            </w:r>
            <w:r w:rsidR="00EB595A">
              <w:rPr>
                <w:rFonts w:asciiTheme="minorHAnsi" w:hAnsiTheme="minorHAnsi" w:cstheme="minorHAnsi"/>
                <w:sz w:val="22"/>
                <w:szCs w:val="22"/>
              </w:rPr>
              <w:t>przepis art. 20u:</w:t>
            </w:r>
          </w:p>
          <w:p w:rsidR="00B5396A" w:rsidRDefault="00EB595A" w:rsidP="00275490">
            <w:pPr>
              <w:jc w:val="both"/>
              <w:rPr>
                <w:rFonts w:asciiTheme="minorHAnsi" w:hAnsiTheme="minorHAnsi" w:cstheme="minorHAnsi"/>
                <w:sz w:val="22"/>
                <w:szCs w:val="22"/>
              </w:rPr>
            </w:pPr>
            <w:r>
              <w:rPr>
                <w:rFonts w:asciiTheme="minorHAnsi" w:hAnsiTheme="minorHAnsi" w:cstheme="minorHAnsi"/>
                <w:sz w:val="22"/>
                <w:szCs w:val="22"/>
              </w:rPr>
              <w:t>a) ust. 1 należy uzupełnić o określenie/wskazanie podmiotów, którym minister udostępnia oprogramowanie,</w:t>
            </w:r>
          </w:p>
          <w:p w:rsidR="00EB595A" w:rsidRDefault="00EB595A" w:rsidP="00275490">
            <w:pPr>
              <w:jc w:val="both"/>
              <w:rPr>
                <w:rFonts w:asciiTheme="minorHAnsi" w:hAnsiTheme="minorHAnsi" w:cstheme="minorHAnsi"/>
                <w:sz w:val="22"/>
                <w:szCs w:val="22"/>
              </w:rPr>
            </w:pPr>
            <w:r>
              <w:rPr>
                <w:rFonts w:asciiTheme="minorHAnsi" w:hAnsiTheme="minorHAnsi" w:cstheme="minorHAnsi"/>
                <w:sz w:val="22"/>
                <w:szCs w:val="22"/>
              </w:rPr>
              <w:t>b) ust. 2 – nie wiadomo, w jaki sposób i w jakim trybie minister zapewnia wsparcie podmiotom publicznym,</w:t>
            </w:r>
          </w:p>
          <w:p w:rsidR="00786EB8" w:rsidRPr="00A06425" w:rsidRDefault="00EB595A" w:rsidP="00786EB8">
            <w:pPr>
              <w:jc w:val="both"/>
              <w:rPr>
                <w:rFonts w:asciiTheme="minorHAnsi" w:hAnsiTheme="minorHAnsi" w:cstheme="minorHAnsi"/>
                <w:sz w:val="22"/>
                <w:szCs w:val="22"/>
              </w:rPr>
            </w:pPr>
            <w:r>
              <w:rPr>
                <w:rFonts w:asciiTheme="minorHAnsi" w:hAnsiTheme="minorHAnsi" w:cstheme="minorHAnsi"/>
                <w:sz w:val="22"/>
                <w:szCs w:val="22"/>
              </w:rPr>
              <w:t xml:space="preserve">c) </w:t>
            </w:r>
            <w:r w:rsidR="000F2B8A">
              <w:rPr>
                <w:rFonts w:asciiTheme="minorHAnsi" w:hAnsiTheme="minorHAnsi" w:cstheme="minorHAnsi"/>
                <w:sz w:val="22"/>
                <w:szCs w:val="22"/>
              </w:rPr>
              <w:t xml:space="preserve">ust. 3 – wyjaśnienia </w:t>
            </w:r>
            <w:proofErr w:type="gramStart"/>
            <w:r w:rsidR="000F2B8A">
              <w:rPr>
                <w:rFonts w:asciiTheme="minorHAnsi" w:hAnsiTheme="minorHAnsi" w:cstheme="minorHAnsi"/>
                <w:sz w:val="22"/>
                <w:szCs w:val="22"/>
              </w:rPr>
              <w:t>wymaga,</w:t>
            </w:r>
            <w:proofErr w:type="gramEnd"/>
            <w:r w:rsidR="000F2B8A">
              <w:rPr>
                <w:rFonts w:asciiTheme="minorHAnsi" w:hAnsiTheme="minorHAnsi" w:cstheme="minorHAnsi"/>
                <w:sz w:val="22"/>
                <w:szCs w:val="22"/>
              </w:rPr>
              <w:t xml:space="preserve"> jako niewystępujące w systemie prawa na poziomie ustawowym, pojęcie „usługi chmurowej”. RCL </w:t>
            </w:r>
            <w:r w:rsidR="00B13875">
              <w:rPr>
                <w:rFonts w:asciiTheme="minorHAnsi" w:hAnsiTheme="minorHAnsi" w:cstheme="minorHAnsi"/>
                <w:sz w:val="22"/>
                <w:szCs w:val="22"/>
              </w:rPr>
              <w:t>sugeruje usunięcie tego pojęcia z przedmiotowego projektu</w:t>
            </w:r>
            <w:r w:rsidR="00786EB8">
              <w:rPr>
                <w:rFonts w:asciiTheme="minorHAnsi" w:hAnsiTheme="minorHAnsi" w:cstheme="minorHAnsi"/>
                <w:sz w:val="22"/>
                <w:szCs w:val="22"/>
              </w:rPr>
              <w:t>.</w:t>
            </w:r>
          </w:p>
          <w:p w:rsidR="00246C67" w:rsidRPr="00A06425" w:rsidRDefault="00246C67" w:rsidP="00275490">
            <w:pPr>
              <w:jc w:val="both"/>
              <w:rPr>
                <w:rFonts w:asciiTheme="minorHAnsi" w:hAnsiTheme="minorHAnsi" w:cstheme="minorHAnsi"/>
                <w:sz w:val="22"/>
                <w:szCs w:val="22"/>
              </w:rPr>
            </w:pPr>
          </w:p>
        </w:tc>
        <w:tc>
          <w:tcPr>
            <w:tcW w:w="2552" w:type="dxa"/>
            <w:shd w:val="clear" w:color="auto" w:fill="auto"/>
          </w:tcPr>
          <w:p w:rsidR="00BB3C30" w:rsidRPr="00A06425" w:rsidRDefault="00BB3C30" w:rsidP="004D086F">
            <w:pPr>
              <w:jc w:val="center"/>
              <w:rPr>
                <w:rFonts w:asciiTheme="minorHAnsi" w:hAnsiTheme="minorHAnsi" w:cstheme="minorHAnsi"/>
                <w:sz w:val="22"/>
                <w:szCs w:val="22"/>
              </w:rPr>
            </w:pPr>
          </w:p>
        </w:tc>
        <w:tc>
          <w:tcPr>
            <w:tcW w:w="1359" w:type="dxa"/>
          </w:tcPr>
          <w:p w:rsidR="00BB3C30" w:rsidRPr="00A06425" w:rsidRDefault="00BB3C30" w:rsidP="004D086F">
            <w:pPr>
              <w:jc w:val="center"/>
              <w:rPr>
                <w:rFonts w:asciiTheme="minorHAnsi" w:hAnsiTheme="minorHAnsi" w:cstheme="minorHAnsi"/>
                <w:sz w:val="22"/>
                <w:szCs w:val="22"/>
              </w:rPr>
            </w:pPr>
          </w:p>
        </w:tc>
      </w:tr>
      <w:tr w:rsidR="00C75ADB" w:rsidRPr="00A06425" w:rsidTr="006976D6">
        <w:tc>
          <w:tcPr>
            <w:tcW w:w="562" w:type="dxa"/>
            <w:shd w:val="clear" w:color="auto" w:fill="auto"/>
          </w:tcPr>
          <w:p w:rsidR="00C75ADB" w:rsidRPr="00A06425" w:rsidRDefault="002C2BDE" w:rsidP="00A06425">
            <w:pPr>
              <w:spacing w:before="120" w:after="120"/>
              <w:jc w:val="center"/>
              <w:rPr>
                <w:rFonts w:asciiTheme="minorHAnsi" w:hAnsiTheme="minorHAnsi" w:cstheme="minorHAnsi"/>
                <w:b/>
                <w:sz w:val="22"/>
                <w:szCs w:val="22"/>
              </w:rPr>
            </w:pPr>
            <w:r>
              <w:rPr>
                <w:rFonts w:asciiTheme="minorHAnsi" w:hAnsiTheme="minorHAnsi" w:cstheme="minorHAnsi"/>
                <w:b/>
                <w:sz w:val="22"/>
                <w:szCs w:val="22"/>
              </w:rPr>
              <w:lastRenderedPageBreak/>
              <w:t>13</w:t>
            </w:r>
          </w:p>
        </w:tc>
        <w:tc>
          <w:tcPr>
            <w:tcW w:w="1134" w:type="dxa"/>
            <w:shd w:val="clear" w:color="auto" w:fill="auto"/>
          </w:tcPr>
          <w:p w:rsidR="00C75ADB" w:rsidRPr="00A06425" w:rsidRDefault="00C75ADB" w:rsidP="004D086F">
            <w:pPr>
              <w:spacing w:before="60" w:after="60"/>
              <w:jc w:val="center"/>
              <w:rPr>
                <w:rFonts w:asciiTheme="minorHAnsi" w:hAnsiTheme="minorHAnsi" w:cstheme="minorHAnsi"/>
                <w:b/>
                <w:sz w:val="22"/>
                <w:szCs w:val="22"/>
              </w:rPr>
            </w:pPr>
          </w:p>
        </w:tc>
        <w:tc>
          <w:tcPr>
            <w:tcW w:w="1843" w:type="dxa"/>
            <w:shd w:val="clear" w:color="auto" w:fill="auto"/>
          </w:tcPr>
          <w:p w:rsidR="00C75ADB" w:rsidRPr="00A06425" w:rsidRDefault="007145EA" w:rsidP="004D086F">
            <w:pPr>
              <w:jc w:val="center"/>
              <w:rPr>
                <w:rFonts w:asciiTheme="minorHAnsi" w:hAnsiTheme="minorHAnsi" w:cstheme="minorHAnsi"/>
                <w:sz w:val="22"/>
                <w:szCs w:val="22"/>
              </w:rPr>
            </w:pPr>
            <w:r>
              <w:rPr>
                <w:rFonts w:asciiTheme="minorHAnsi" w:hAnsiTheme="minorHAnsi" w:cstheme="minorHAnsi"/>
                <w:sz w:val="22"/>
                <w:szCs w:val="22"/>
              </w:rPr>
              <w:t>Art. 22</w:t>
            </w:r>
          </w:p>
        </w:tc>
        <w:tc>
          <w:tcPr>
            <w:tcW w:w="7938" w:type="dxa"/>
            <w:shd w:val="clear" w:color="auto" w:fill="auto"/>
          </w:tcPr>
          <w:p w:rsidR="00674D57" w:rsidRDefault="004B62AC" w:rsidP="004B62AC">
            <w:pPr>
              <w:jc w:val="both"/>
              <w:rPr>
                <w:rFonts w:asciiTheme="minorHAnsi" w:hAnsiTheme="minorHAnsi" w:cstheme="minorHAnsi"/>
                <w:sz w:val="22"/>
                <w:szCs w:val="22"/>
              </w:rPr>
            </w:pPr>
            <w:r>
              <w:rPr>
                <w:rFonts w:asciiTheme="minorHAnsi" w:hAnsiTheme="minorHAnsi" w:cstheme="minorHAnsi"/>
                <w:sz w:val="22"/>
                <w:szCs w:val="22"/>
              </w:rPr>
              <w:t xml:space="preserve">Na wstępie należy zauważyć, że kwestie nowelizacji przepisów dotyczących wydawania dowodów osobistych zawarte są również w projekcie </w:t>
            </w:r>
            <w:r w:rsidRPr="007E31D0">
              <w:rPr>
                <w:rFonts w:asciiTheme="minorHAnsi" w:hAnsiTheme="minorHAnsi" w:cstheme="minorHAnsi"/>
                <w:i/>
                <w:sz w:val="22"/>
                <w:szCs w:val="22"/>
              </w:rPr>
              <w:t xml:space="preserve">ustawy </w:t>
            </w:r>
            <w:r w:rsidR="007E31D0" w:rsidRPr="007E31D0">
              <w:rPr>
                <w:rFonts w:asciiTheme="minorHAnsi" w:hAnsiTheme="minorHAnsi" w:cstheme="minorHAnsi"/>
                <w:i/>
                <w:sz w:val="22"/>
                <w:szCs w:val="22"/>
              </w:rPr>
              <w:t xml:space="preserve">o aplikacji </w:t>
            </w:r>
            <w:proofErr w:type="spellStart"/>
            <w:r w:rsidR="007E31D0" w:rsidRPr="007E31D0">
              <w:rPr>
                <w:rFonts w:asciiTheme="minorHAnsi" w:hAnsiTheme="minorHAnsi" w:cstheme="minorHAnsi"/>
                <w:i/>
                <w:sz w:val="22"/>
                <w:szCs w:val="22"/>
              </w:rPr>
              <w:t>mObywatel</w:t>
            </w:r>
            <w:proofErr w:type="spellEnd"/>
            <w:r w:rsidR="007E31D0">
              <w:rPr>
                <w:rFonts w:asciiTheme="minorHAnsi" w:hAnsiTheme="minorHAnsi" w:cstheme="minorHAnsi"/>
                <w:sz w:val="22"/>
                <w:szCs w:val="22"/>
              </w:rPr>
              <w:t xml:space="preserve"> będącej obecnie przedmiotem prac Senatu Rzeczypospolitej Polskiej (druk senacki nr 943), art. 36 tego projektu. Zawarte w ww. projekcie zmiany pokrywają się częściowo z propozycjami zmian zawartymi w przedmiotowym projekcie ustawy (zmiany w art. 24, art. 28, art. 29a, art. 31, art. 32b, art. 47, art. 48a. art. 54), co należy mieć na uwadze kontynuując prace nad projektem. </w:t>
            </w:r>
          </w:p>
          <w:p w:rsidR="00C75ADB" w:rsidRDefault="007E31D0" w:rsidP="004B62AC">
            <w:pPr>
              <w:jc w:val="both"/>
              <w:rPr>
                <w:rFonts w:asciiTheme="minorHAnsi" w:hAnsiTheme="minorHAnsi" w:cstheme="minorHAnsi"/>
                <w:sz w:val="22"/>
                <w:szCs w:val="22"/>
              </w:rPr>
            </w:pPr>
            <w:r>
              <w:rPr>
                <w:rFonts w:asciiTheme="minorHAnsi" w:hAnsiTheme="minorHAnsi" w:cstheme="minorHAnsi"/>
                <w:sz w:val="22"/>
                <w:szCs w:val="22"/>
              </w:rPr>
              <w:t xml:space="preserve">Niezależnie </w:t>
            </w:r>
            <w:r w:rsidR="0007752D">
              <w:rPr>
                <w:rFonts w:asciiTheme="minorHAnsi" w:hAnsiTheme="minorHAnsi" w:cstheme="minorHAnsi"/>
                <w:sz w:val="22"/>
                <w:szCs w:val="22"/>
              </w:rPr>
              <w:t>od powyższego:</w:t>
            </w:r>
          </w:p>
          <w:p w:rsidR="0007752D" w:rsidRDefault="0007752D" w:rsidP="004B62AC">
            <w:pPr>
              <w:jc w:val="both"/>
              <w:rPr>
                <w:rFonts w:asciiTheme="minorHAnsi" w:hAnsiTheme="minorHAnsi" w:cstheme="minorHAnsi"/>
                <w:sz w:val="22"/>
                <w:szCs w:val="22"/>
              </w:rPr>
            </w:pPr>
            <w:r>
              <w:rPr>
                <w:rFonts w:asciiTheme="minorHAnsi" w:hAnsiTheme="minorHAnsi" w:cstheme="minorHAnsi"/>
                <w:sz w:val="22"/>
                <w:szCs w:val="22"/>
              </w:rPr>
              <w:t xml:space="preserve">1) wskazać </w:t>
            </w:r>
            <w:r w:rsidR="00327979">
              <w:rPr>
                <w:rFonts w:asciiTheme="minorHAnsi" w:hAnsiTheme="minorHAnsi" w:cstheme="minorHAnsi"/>
                <w:sz w:val="22"/>
                <w:szCs w:val="22"/>
              </w:rPr>
              <w:t>należy</w:t>
            </w:r>
            <w:r>
              <w:rPr>
                <w:rFonts w:asciiTheme="minorHAnsi" w:hAnsiTheme="minorHAnsi" w:cstheme="minorHAnsi"/>
                <w:sz w:val="22"/>
                <w:szCs w:val="22"/>
              </w:rPr>
              <w:t xml:space="preserve">, że wymieniony wyżej projekt </w:t>
            </w:r>
            <w:r w:rsidRPr="0007752D">
              <w:rPr>
                <w:rFonts w:asciiTheme="minorHAnsi" w:hAnsiTheme="minorHAnsi" w:cstheme="minorHAnsi"/>
                <w:i/>
                <w:sz w:val="22"/>
                <w:szCs w:val="22"/>
              </w:rPr>
              <w:t xml:space="preserve">ustawy o aplikacji </w:t>
            </w:r>
            <w:proofErr w:type="spellStart"/>
            <w:r w:rsidRPr="0007752D">
              <w:rPr>
                <w:rFonts w:asciiTheme="minorHAnsi" w:hAnsiTheme="minorHAnsi" w:cstheme="minorHAnsi"/>
                <w:i/>
                <w:sz w:val="22"/>
                <w:szCs w:val="22"/>
              </w:rPr>
              <w:t>mObywatel</w:t>
            </w:r>
            <w:proofErr w:type="spellEnd"/>
            <w:r>
              <w:rPr>
                <w:rFonts w:asciiTheme="minorHAnsi" w:hAnsiTheme="minorHAnsi" w:cstheme="minorHAnsi"/>
                <w:sz w:val="22"/>
                <w:szCs w:val="22"/>
              </w:rPr>
              <w:t xml:space="preserve"> uchyla przepisy ustawy z </w:t>
            </w:r>
            <w:r w:rsidRPr="0007752D">
              <w:rPr>
                <w:rFonts w:asciiTheme="minorHAnsi" w:hAnsiTheme="minorHAnsi" w:cstheme="minorHAnsi"/>
                <w:sz w:val="22"/>
                <w:szCs w:val="22"/>
              </w:rPr>
              <w:t>dnia 17 lutego 2005 r. o informatyzacji działalności podmiotów realizujących zadania publiczne</w:t>
            </w:r>
            <w:r w:rsidR="000157FE">
              <w:rPr>
                <w:rFonts w:asciiTheme="minorHAnsi" w:hAnsiTheme="minorHAnsi" w:cstheme="minorHAnsi"/>
                <w:sz w:val="22"/>
                <w:szCs w:val="22"/>
              </w:rPr>
              <w:t xml:space="preserve"> dotyczące publicznej aplikacji mobilnej (art. 19e i nast. tej ustawy), mając na uwadze zaawansowany proces legislacyjny tego projektu ustawy, Rządowe Centrum Legislacji zwraca uwagę </w:t>
            </w:r>
            <w:r w:rsidR="00B477A3">
              <w:rPr>
                <w:rFonts w:asciiTheme="minorHAnsi" w:hAnsiTheme="minorHAnsi" w:cstheme="minorHAnsi"/>
                <w:sz w:val="22"/>
                <w:szCs w:val="22"/>
              </w:rPr>
              <w:t>na konieczność wprowadzenia ewentualnych modyfikacji do przedstawionego projektu w tym zakresie (zmiany w art. 24</w:t>
            </w:r>
            <w:r w:rsidR="00801387">
              <w:rPr>
                <w:rFonts w:asciiTheme="minorHAnsi" w:hAnsiTheme="minorHAnsi" w:cstheme="minorHAnsi"/>
                <w:sz w:val="22"/>
                <w:szCs w:val="22"/>
              </w:rPr>
              <w:t xml:space="preserve"> ust. 2b</w:t>
            </w:r>
            <w:r w:rsidR="00B477A3">
              <w:rPr>
                <w:rFonts w:asciiTheme="minorHAnsi" w:hAnsiTheme="minorHAnsi" w:cstheme="minorHAnsi"/>
                <w:sz w:val="22"/>
                <w:szCs w:val="22"/>
              </w:rPr>
              <w:t>);</w:t>
            </w:r>
          </w:p>
          <w:p w:rsidR="00801387" w:rsidRPr="00801387" w:rsidRDefault="00B477A3" w:rsidP="004B62AC">
            <w:pPr>
              <w:jc w:val="both"/>
              <w:rPr>
                <w:rFonts w:asciiTheme="minorHAnsi" w:hAnsiTheme="minorHAnsi" w:cstheme="minorHAnsi"/>
                <w:sz w:val="22"/>
                <w:szCs w:val="22"/>
              </w:rPr>
            </w:pPr>
            <w:r>
              <w:rPr>
                <w:rFonts w:asciiTheme="minorHAnsi" w:hAnsiTheme="minorHAnsi" w:cstheme="minorHAnsi"/>
                <w:sz w:val="22"/>
                <w:szCs w:val="22"/>
              </w:rPr>
              <w:t xml:space="preserve">2) </w:t>
            </w:r>
            <w:r w:rsidR="00801387" w:rsidRPr="00801387">
              <w:rPr>
                <w:rFonts w:asciiTheme="minorHAnsi" w:hAnsiTheme="minorHAnsi" w:cstheme="minorHAnsi"/>
                <w:sz w:val="22"/>
                <w:szCs w:val="22"/>
              </w:rPr>
              <w:t xml:space="preserve">w przypadku dodawanego w art. 24 przepisu </w:t>
            </w:r>
            <w:r w:rsidR="00801387">
              <w:rPr>
                <w:rFonts w:asciiTheme="minorHAnsi" w:hAnsiTheme="minorHAnsi" w:cstheme="minorHAnsi"/>
                <w:sz w:val="22"/>
                <w:szCs w:val="22"/>
              </w:rPr>
              <w:t>2b wyjaśnienia wymaga, czy do wniosku (projektu wniosku) złożonego w sposób określony w tym przepisie dołącza się fotografię (mając na uwadze dodawany przepis art. 29</w:t>
            </w:r>
            <w:r w:rsidR="00801387" w:rsidRPr="00801387">
              <w:rPr>
                <w:rFonts w:asciiTheme="minorHAnsi" w:hAnsiTheme="minorHAnsi" w:cstheme="minorHAnsi"/>
                <w:sz w:val="22"/>
                <w:szCs w:val="22"/>
                <w:vertAlign w:val="superscript"/>
              </w:rPr>
              <w:t>1</w:t>
            </w:r>
            <w:r w:rsidR="00801387">
              <w:rPr>
                <w:rFonts w:asciiTheme="minorHAnsi" w:hAnsiTheme="minorHAnsi" w:cstheme="minorHAnsi"/>
                <w:sz w:val="22"/>
                <w:szCs w:val="22"/>
              </w:rPr>
              <w:t xml:space="preserve"> zgodnie z którym „w trakcie składania wniosku” organ gminy może zapewnić wykonanie fotografii, o której mowa w art. 29 ust. 1</w:t>
            </w:r>
            <w:r w:rsidR="00674D57">
              <w:rPr>
                <w:rFonts w:asciiTheme="minorHAnsi" w:hAnsiTheme="minorHAnsi" w:cstheme="minorHAnsi"/>
                <w:sz w:val="22"/>
                <w:szCs w:val="22"/>
              </w:rPr>
              <w:t>);</w:t>
            </w:r>
          </w:p>
          <w:p w:rsidR="00B477A3" w:rsidRDefault="00801387" w:rsidP="004B62AC">
            <w:pPr>
              <w:jc w:val="both"/>
              <w:rPr>
                <w:rFonts w:asciiTheme="minorHAnsi" w:hAnsiTheme="minorHAnsi" w:cstheme="minorHAnsi"/>
                <w:sz w:val="22"/>
                <w:szCs w:val="22"/>
              </w:rPr>
            </w:pPr>
            <w:r>
              <w:rPr>
                <w:rFonts w:asciiTheme="minorHAnsi" w:hAnsiTheme="minorHAnsi" w:cstheme="minorHAnsi"/>
                <w:sz w:val="22"/>
                <w:szCs w:val="22"/>
              </w:rPr>
              <w:t xml:space="preserve">3) </w:t>
            </w:r>
            <w:r w:rsidR="00B477A3">
              <w:rPr>
                <w:rFonts w:asciiTheme="minorHAnsi" w:hAnsiTheme="minorHAnsi" w:cstheme="minorHAnsi"/>
                <w:sz w:val="22"/>
                <w:szCs w:val="22"/>
              </w:rPr>
              <w:t xml:space="preserve">w przypadku dodawanego w art. 24 przepisu </w:t>
            </w:r>
            <w:r>
              <w:rPr>
                <w:rFonts w:asciiTheme="minorHAnsi" w:hAnsiTheme="minorHAnsi" w:cstheme="minorHAnsi"/>
                <w:sz w:val="22"/>
                <w:szCs w:val="22"/>
              </w:rPr>
              <w:t>3f (błędnie oznaczonego) proponuje się doprecyzowanie pojęcia „zakończenia procedury wnioskowania” (złożenie własnoręcznego podpisu, pobranie odcisków palców, adnotacja o pobraniu odcisków palców);</w:t>
            </w:r>
          </w:p>
          <w:p w:rsidR="00475DE3" w:rsidRPr="00475DE3" w:rsidRDefault="00801387" w:rsidP="00475DE3">
            <w:pPr>
              <w:jc w:val="both"/>
              <w:rPr>
                <w:rFonts w:asciiTheme="minorHAnsi" w:hAnsiTheme="minorHAnsi" w:cstheme="minorHAnsi"/>
                <w:sz w:val="22"/>
                <w:szCs w:val="22"/>
              </w:rPr>
            </w:pPr>
            <w:r>
              <w:rPr>
                <w:rFonts w:asciiTheme="minorHAnsi" w:hAnsiTheme="minorHAnsi" w:cstheme="minorHAnsi"/>
                <w:sz w:val="22"/>
                <w:szCs w:val="22"/>
              </w:rPr>
              <w:lastRenderedPageBreak/>
              <w:t xml:space="preserve">4) zgodnie z dodawanym art. 50a ust. 1 </w:t>
            </w:r>
            <w:r w:rsidR="007B6ED2">
              <w:rPr>
                <w:rFonts w:asciiTheme="minorHAnsi" w:hAnsiTheme="minorHAnsi" w:cstheme="minorHAnsi"/>
                <w:sz w:val="22"/>
                <w:szCs w:val="22"/>
              </w:rPr>
              <w:t xml:space="preserve">projektu w przypadku unieważnienia dowodu osobistego na skutek oczywistej omyłki ważność dowodu osobistego przywraca się w formie czynności materialno-technicznej. Wskazać jednak należy, że przepisy dotyczące unieważniania dowodów osobistych nie przewidują przesłanki unieważnienia – oczywistej omyłki, </w:t>
            </w:r>
            <w:r w:rsidR="00412F5B">
              <w:rPr>
                <w:rFonts w:asciiTheme="minorHAnsi" w:hAnsiTheme="minorHAnsi" w:cstheme="minorHAnsi"/>
                <w:sz w:val="22"/>
                <w:szCs w:val="22"/>
              </w:rPr>
              <w:t xml:space="preserve">za którą nie można uznać w opinii </w:t>
            </w:r>
            <w:r w:rsidR="00327979">
              <w:rPr>
                <w:rFonts w:asciiTheme="minorHAnsi" w:hAnsiTheme="minorHAnsi" w:cstheme="minorHAnsi"/>
                <w:sz w:val="22"/>
                <w:szCs w:val="22"/>
              </w:rPr>
              <w:t>Rządowego Centrum Legislacji</w:t>
            </w:r>
            <w:r w:rsidR="007B6ED2">
              <w:rPr>
                <w:rFonts w:asciiTheme="minorHAnsi" w:hAnsiTheme="minorHAnsi" w:cstheme="minorHAnsi"/>
                <w:sz w:val="22"/>
                <w:szCs w:val="22"/>
              </w:rPr>
              <w:t xml:space="preserve"> </w:t>
            </w:r>
            <w:r w:rsidR="00412F5B" w:rsidRPr="00412F5B">
              <w:rPr>
                <w:rFonts w:asciiTheme="minorHAnsi" w:hAnsiTheme="minorHAnsi" w:cstheme="minorHAnsi"/>
                <w:sz w:val="22"/>
                <w:szCs w:val="22"/>
              </w:rPr>
              <w:t>wady technicznej dowodu osobistego lub błędnej personalizacji</w:t>
            </w:r>
            <w:r w:rsidR="00412F5B">
              <w:rPr>
                <w:rFonts w:asciiTheme="minorHAnsi" w:hAnsiTheme="minorHAnsi" w:cstheme="minorHAnsi"/>
                <w:sz w:val="22"/>
                <w:szCs w:val="22"/>
              </w:rPr>
              <w:t xml:space="preserve"> (przesłanki unieważnienia dowodu osobistego – zgodnie z art. 50</w:t>
            </w:r>
            <w:r w:rsidR="00475DE3">
              <w:rPr>
                <w:rFonts w:asciiTheme="minorHAnsi" w:hAnsiTheme="minorHAnsi" w:cstheme="minorHAnsi"/>
                <w:sz w:val="22"/>
                <w:szCs w:val="22"/>
              </w:rPr>
              <w:t xml:space="preserve">, w związku z art. 46 </w:t>
            </w:r>
            <w:r w:rsidR="00412F5B">
              <w:rPr>
                <w:rFonts w:asciiTheme="minorHAnsi" w:hAnsiTheme="minorHAnsi" w:cstheme="minorHAnsi"/>
                <w:sz w:val="22"/>
                <w:szCs w:val="22"/>
              </w:rPr>
              <w:t>);</w:t>
            </w:r>
            <w:r w:rsidR="00475DE3">
              <w:t xml:space="preserve"> </w:t>
            </w:r>
            <w:r w:rsidR="00475DE3" w:rsidRPr="00475DE3">
              <w:rPr>
                <w:rFonts w:asciiTheme="minorHAnsi" w:hAnsiTheme="minorHAnsi" w:cstheme="minorHAnsi"/>
                <w:sz w:val="22"/>
                <w:szCs w:val="22"/>
              </w:rPr>
              <w:t>ponadto</w:t>
            </w:r>
            <w:r w:rsidR="00475DE3">
              <w:t xml:space="preserve"> </w:t>
            </w:r>
            <w:r w:rsidR="00475DE3">
              <w:rPr>
                <w:rFonts w:asciiTheme="minorHAnsi" w:hAnsiTheme="minorHAnsi" w:cstheme="minorHAnsi"/>
                <w:sz w:val="22"/>
                <w:szCs w:val="22"/>
              </w:rPr>
              <w:t>n</w:t>
            </w:r>
            <w:r w:rsidR="00475DE3" w:rsidRPr="00475DE3">
              <w:rPr>
                <w:rFonts w:asciiTheme="minorHAnsi" w:hAnsiTheme="minorHAnsi" w:cstheme="minorHAnsi"/>
                <w:sz w:val="22"/>
                <w:szCs w:val="22"/>
              </w:rPr>
              <w:t xml:space="preserve">ależy dokonać oceny czy unieważnienie dowodu osobistego na skutek oczywistej pomyłki </w:t>
            </w:r>
            <w:r w:rsidR="00475DE3">
              <w:rPr>
                <w:rFonts w:asciiTheme="minorHAnsi" w:hAnsiTheme="minorHAnsi" w:cstheme="minorHAnsi"/>
                <w:sz w:val="22"/>
                <w:szCs w:val="22"/>
              </w:rPr>
              <w:t>miałoby</w:t>
            </w:r>
            <w:r w:rsidR="00475DE3" w:rsidRPr="00475DE3">
              <w:rPr>
                <w:rFonts w:asciiTheme="minorHAnsi" w:hAnsiTheme="minorHAnsi" w:cstheme="minorHAnsi"/>
                <w:sz w:val="22"/>
                <w:szCs w:val="22"/>
              </w:rPr>
              <w:t xml:space="preserve"> dotyczyć wszystkich przypadków unieważnienia dowodu osobistego, np. przypadku unieważnienia certyfikatów, o których mowa w art. 12a ust. 1 pkt 2-4</w:t>
            </w:r>
            <w:r w:rsidR="00E95BDF">
              <w:rPr>
                <w:rFonts w:asciiTheme="minorHAnsi" w:hAnsiTheme="minorHAnsi" w:cstheme="minorHAnsi"/>
                <w:sz w:val="22"/>
                <w:szCs w:val="22"/>
              </w:rPr>
              <w:t>;</w:t>
            </w:r>
          </w:p>
          <w:p w:rsidR="00412F5B" w:rsidRDefault="009777C4" w:rsidP="00475DE3">
            <w:pPr>
              <w:jc w:val="both"/>
              <w:rPr>
                <w:rFonts w:asciiTheme="minorHAnsi" w:hAnsiTheme="minorHAnsi" w:cstheme="minorHAnsi"/>
                <w:sz w:val="22"/>
                <w:szCs w:val="22"/>
              </w:rPr>
            </w:pPr>
            <w:r>
              <w:rPr>
                <w:rFonts w:asciiTheme="minorHAnsi" w:hAnsiTheme="minorHAnsi" w:cstheme="minorHAnsi"/>
                <w:sz w:val="22"/>
                <w:szCs w:val="22"/>
              </w:rPr>
              <w:t>5) wyjaśnienia wymaga charakter aplikacji udostępnianej przez ministra</w:t>
            </w:r>
            <w:r w:rsidR="00E95BDF">
              <w:rPr>
                <w:rFonts w:asciiTheme="minorHAnsi" w:hAnsiTheme="minorHAnsi" w:cstheme="minorHAnsi"/>
                <w:sz w:val="22"/>
                <w:szCs w:val="22"/>
              </w:rPr>
              <w:t xml:space="preserve"> w przypadku braku bezpośredniego dostępu do Rejestru Dowodów Osobistych (dodawane ust. 9 i 10 w art. 55);</w:t>
            </w:r>
          </w:p>
          <w:p w:rsidR="00FD25E4" w:rsidRPr="0007752D" w:rsidRDefault="00357AEB" w:rsidP="00172BED">
            <w:pPr>
              <w:jc w:val="both"/>
              <w:rPr>
                <w:rFonts w:asciiTheme="minorHAnsi" w:hAnsiTheme="minorHAnsi" w:cstheme="minorHAnsi"/>
                <w:sz w:val="22"/>
                <w:szCs w:val="22"/>
              </w:rPr>
            </w:pPr>
            <w:r>
              <w:rPr>
                <w:rFonts w:asciiTheme="minorHAnsi" w:hAnsiTheme="minorHAnsi" w:cstheme="minorHAnsi"/>
                <w:sz w:val="22"/>
                <w:szCs w:val="22"/>
              </w:rPr>
              <w:t xml:space="preserve">6) </w:t>
            </w:r>
            <w:r w:rsidR="00FB0575">
              <w:rPr>
                <w:rFonts w:asciiTheme="minorHAnsi" w:hAnsiTheme="minorHAnsi" w:cstheme="minorHAnsi"/>
                <w:sz w:val="22"/>
                <w:szCs w:val="22"/>
              </w:rPr>
              <w:t xml:space="preserve">wyjaśnienia wymaga </w:t>
            </w:r>
            <w:r w:rsidR="00FB0575" w:rsidRPr="00FB0575">
              <w:rPr>
                <w:rFonts w:asciiTheme="minorHAnsi" w:hAnsiTheme="minorHAnsi" w:cstheme="minorHAnsi"/>
                <w:sz w:val="22"/>
                <w:szCs w:val="22"/>
              </w:rPr>
              <w:t>jaki charakter prawny ma „pozytywna decyzja ministra”</w:t>
            </w:r>
            <w:r w:rsidR="008C314A">
              <w:rPr>
                <w:rFonts w:asciiTheme="minorHAnsi" w:hAnsiTheme="minorHAnsi" w:cstheme="minorHAnsi"/>
                <w:sz w:val="22"/>
                <w:szCs w:val="22"/>
              </w:rPr>
              <w:t>, o której mowa w dodawanym art. 68a ust. 2</w:t>
            </w:r>
            <w:r w:rsidR="00FB0575" w:rsidRPr="00FB0575">
              <w:rPr>
                <w:rFonts w:asciiTheme="minorHAnsi" w:hAnsiTheme="minorHAnsi" w:cstheme="minorHAnsi"/>
                <w:sz w:val="22"/>
                <w:szCs w:val="22"/>
              </w:rPr>
              <w:t xml:space="preserve">. Jeżeli jest to decyzja administracyjna, </w:t>
            </w:r>
            <w:r w:rsidR="008C314A">
              <w:rPr>
                <w:rFonts w:asciiTheme="minorHAnsi" w:hAnsiTheme="minorHAnsi" w:cstheme="minorHAnsi"/>
                <w:sz w:val="22"/>
                <w:szCs w:val="22"/>
              </w:rPr>
              <w:t xml:space="preserve">wyjaśnienia i odpowiedniej regulacji wymaga także kwestia strony </w:t>
            </w:r>
            <w:r w:rsidR="00FB0575" w:rsidRPr="00FB0575">
              <w:rPr>
                <w:rFonts w:asciiTheme="minorHAnsi" w:hAnsiTheme="minorHAnsi" w:cstheme="minorHAnsi"/>
                <w:sz w:val="22"/>
                <w:szCs w:val="22"/>
              </w:rPr>
              <w:t>takiego postępowania</w:t>
            </w:r>
            <w:r w:rsidR="00172BED">
              <w:rPr>
                <w:rFonts w:asciiTheme="minorHAnsi" w:hAnsiTheme="minorHAnsi" w:cstheme="minorHAnsi"/>
                <w:sz w:val="22"/>
                <w:szCs w:val="22"/>
              </w:rPr>
              <w:t>.</w:t>
            </w:r>
            <w:r w:rsidR="00B755F0">
              <w:rPr>
                <w:rFonts w:asciiTheme="minorHAnsi" w:hAnsiTheme="minorHAnsi" w:cstheme="minorHAnsi"/>
                <w:sz w:val="22"/>
                <w:szCs w:val="22"/>
              </w:rPr>
              <w:t xml:space="preserve"> </w:t>
            </w:r>
          </w:p>
        </w:tc>
        <w:tc>
          <w:tcPr>
            <w:tcW w:w="2552" w:type="dxa"/>
            <w:shd w:val="clear" w:color="auto" w:fill="auto"/>
          </w:tcPr>
          <w:p w:rsidR="00C75ADB" w:rsidRPr="00A06425" w:rsidRDefault="00C75ADB" w:rsidP="004D086F">
            <w:pPr>
              <w:jc w:val="center"/>
              <w:rPr>
                <w:rFonts w:asciiTheme="minorHAnsi" w:hAnsiTheme="minorHAnsi" w:cstheme="minorHAnsi"/>
                <w:sz w:val="22"/>
                <w:szCs w:val="22"/>
              </w:rPr>
            </w:pPr>
          </w:p>
        </w:tc>
        <w:tc>
          <w:tcPr>
            <w:tcW w:w="1359" w:type="dxa"/>
          </w:tcPr>
          <w:p w:rsidR="00C75ADB" w:rsidRPr="00A06425" w:rsidRDefault="00C75ADB" w:rsidP="004D086F">
            <w:pPr>
              <w:jc w:val="center"/>
              <w:rPr>
                <w:rFonts w:asciiTheme="minorHAnsi" w:hAnsiTheme="minorHAnsi" w:cstheme="minorHAnsi"/>
                <w:sz w:val="22"/>
                <w:szCs w:val="22"/>
              </w:rPr>
            </w:pPr>
          </w:p>
        </w:tc>
      </w:tr>
      <w:tr w:rsidR="00C75ADB" w:rsidRPr="00A06425" w:rsidTr="006976D6">
        <w:tc>
          <w:tcPr>
            <w:tcW w:w="562" w:type="dxa"/>
            <w:shd w:val="clear" w:color="auto" w:fill="auto"/>
          </w:tcPr>
          <w:p w:rsidR="00C75ADB" w:rsidRPr="00A06425" w:rsidRDefault="00C75ADB" w:rsidP="00A06425">
            <w:pPr>
              <w:spacing w:before="120" w:after="120"/>
              <w:jc w:val="center"/>
              <w:rPr>
                <w:rFonts w:asciiTheme="minorHAnsi" w:hAnsiTheme="minorHAnsi" w:cstheme="minorHAnsi"/>
                <w:b/>
                <w:sz w:val="22"/>
                <w:szCs w:val="22"/>
              </w:rPr>
            </w:pPr>
          </w:p>
        </w:tc>
        <w:tc>
          <w:tcPr>
            <w:tcW w:w="1134" w:type="dxa"/>
            <w:shd w:val="clear" w:color="auto" w:fill="auto"/>
          </w:tcPr>
          <w:p w:rsidR="00C75ADB" w:rsidRPr="00A06425" w:rsidRDefault="00C75ADB" w:rsidP="004D086F">
            <w:pPr>
              <w:spacing w:before="60" w:after="60"/>
              <w:jc w:val="center"/>
              <w:rPr>
                <w:rFonts w:asciiTheme="minorHAnsi" w:hAnsiTheme="minorHAnsi" w:cstheme="minorHAnsi"/>
                <w:b/>
                <w:sz w:val="22"/>
                <w:szCs w:val="22"/>
              </w:rPr>
            </w:pPr>
          </w:p>
        </w:tc>
        <w:tc>
          <w:tcPr>
            <w:tcW w:w="1843" w:type="dxa"/>
            <w:shd w:val="clear" w:color="auto" w:fill="auto"/>
          </w:tcPr>
          <w:p w:rsidR="00C75ADB" w:rsidRPr="00A06425" w:rsidRDefault="00C3313E" w:rsidP="004D086F">
            <w:pPr>
              <w:jc w:val="center"/>
              <w:rPr>
                <w:rFonts w:asciiTheme="minorHAnsi" w:hAnsiTheme="minorHAnsi" w:cstheme="minorHAnsi"/>
                <w:sz w:val="22"/>
                <w:szCs w:val="22"/>
              </w:rPr>
            </w:pPr>
            <w:r>
              <w:rPr>
                <w:rFonts w:asciiTheme="minorHAnsi" w:hAnsiTheme="minorHAnsi" w:cstheme="minorHAnsi"/>
                <w:sz w:val="22"/>
                <w:szCs w:val="22"/>
              </w:rPr>
              <w:t>Art. 23</w:t>
            </w:r>
          </w:p>
        </w:tc>
        <w:tc>
          <w:tcPr>
            <w:tcW w:w="7938" w:type="dxa"/>
            <w:shd w:val="clear" w:color="auto" w:fill="auto"/>
          </w:tcPr>
          <w:p w:rsidR="00C75ADB" w:rsidRPr="00A06425" w:rsidRDefault="0043670F" w:rsidP="0043670F">
            <w:pPr>
              <w:jc w:val="both"/>
              <w:rPr>
                <w:rFonts w:asciiTheme="minorHAnsi" w:hAnsiTheme="minorHAnsi" w:cstheme="minorHAnsi"/>
                <w:sz w:val="22"/>
                <w:szCs w:val="22"/>
              </w:rPr>
            </w:pPr>
            <w:r>
              <w:rPr>
                <w:rFonts w:asciiTheme="minorHAnsi" w:hAnsiTheme="minorHAnsi" w:cstheme="minorHAnsi"/>
                <w:sz w:val="22"/>
                <w:szCs w:val="22"/>
              </w:rPr>
              <w:t xml:space="preserve">W zakresie nowelizacji </w:t>
            </w:r>
            <w:r w:rsidR="00327979" w:rsidRPr="00327979">
              <w:rPr>
                <w:rFonts w:asciiTheme="minorHAnsi" w:hAnsiTheme="minorHAnsi" w:cstheme="minorHAnsi"/>
                <w:sz w:val="22"/>
                <w:szCs w:val="22"/>
              </w:rPr>
              <w:t xml:space="preserve">ustawy z dnia 24 września 2010 r. o ewidencji ludności </w:t>
            </w:r>
            <w:r>
              <w:rPr>
                <w:rFonts w:asciiTheme="minorHAnsi" w:hAnsiTheme="minorHAnsi" w:cstheme="minorHAnsi"/>
                <w:sz w:val="22"/>
                <w:szCs w:val="22"/>
              </w:rPr>
              <w:t>zawartej w pkt 5 dotyczącej dodawanego w art. 46 w ust. 1 przepisu pkt 7, aktualne są uwagi zgłoszone m.in. do art. 6 i art. 10 projektu, a ponadto wskazać należy, że zgodnie z art. 46 ust. 1 d</w:t>
            </w:r>
            <w:r w:rsidRPr="0043670F">
              <w:rPr>
                <w:rFonts w:asciiTheme="minorHAnsi" w:hAnsiTheme="minorHAnsi" w:cstheme="minorHAnsi"/>
                <w:sz w:val="22"/>
                <w:szCs w:val="22"/>
              </w:rPr>
              <w:t xml:space="preserve">ane z rejestru PESEL oraz rejestrów mieszkańców w zakresie niezbędnym do realizacji ich ustawowych zadań udostępnia się </w:t>
            </w:r>
            <w:r>
              <w:rPr>
                <w:rFonts w:asciiTheme="minorHAnsi" w:hAnsiTheme="minorHAnsi" w:cstheme="minorHAnsi"/>
                <w:sz w:val="22"/>
                <w:szCs w:val="22"/>
              </w:rPr>
              <w:t>określonym w wyliczeniu</w:t>
            </w:r>
            <w:r w:rsidRPr="0043670F">
              <w:rPr>
                <w:rFonts w:asciiTheme="minorHAnsi" w:hAnsiTheme="minorHAnsi" w:cstheme="minorHAnsi"/>
                <w:sz w:val="22"/>
                <w:szCs w:val="22"/>
              </w:rPr>
              <w:t xml:space="preserve"> podmiotom</w:t>
            </w:r>
            <w:r>
              <w:rPr>
                <w:rFonts w:asciiTheme="minorHAnsi" w:hAnsiTheme="minorHAnsi" w:cstheme="minorHAnsi"/>
                <w:sz w:val="22"/>
                <w:szCs w:val="22"/>
              </w:rPr>
              <w:t>. Projektowany przepis pkt 7 takiego podmiotu nie wskazuje.</w:t>
            </w:r>
          </w:p>
        </w:tc>
        <w:tc>
          <w:tcPr>
            <w:tcW w:w="2552" w:type="dxa"/>
            <w:shd w:val="clear" w:color="auto" w:fill="auto"/>
          </w:tcPr>
          <w:p w:rsidR="00C75ADB" w:rsidRPr="00A06425" w:rsidRDefault="00C75ADB" w:rsidP="004D086F">
            <w:pPr>
              <w:jc w:val="center"/>
              <w:rPr>
                <w:rFonts w:asciiTheme="minorHAnsi" w:hAnsiTheme="minorHAnsi" w:cstheme="minorHAnsi"/>
                <w:sz w:val="22"/>
                <w:szCs w:val="22"/>
              </w:rPr>
            </w:pPr>
          </w:p>
        </w:tc>
        <w:tc>
          <w:tcPr>
            <w:tcW w:w="1359" w:type="dxa"/>
          </w:tcPr>
          <w:p w:rsidR="00C75ADB" w:rsidRPr="00A06425" w:rsidRDefault="00C75ADB" w:rsidP="004D086F">
            <w:pPr>
              <w:jc w:val="center"/>
              <w:rPr>
                <w:rFonts w:asciiTheme="minorHAnsi" w:hAnsiTheme="minorHAnsi" w:cstheme="minorHAnsi"/>
                <w:sz w:val="22"/>
                <w:szCs w:val="22"/>
              </w:rPr>
            </w:pPr>
          </w:p>
        </w:tc>
      </w:tr>
      <w:tr w:rsidR="00C75ADB" w:rsidRPr="00A06425" w:rsidTr="006976D6">
        <w:tc>
          <w:tcPr>
            <w:tcW w:w="562" w:type="dxa"/>
            <w:shd w:val="clear" w:color="auto" w:fill="auto"/>
          </w:tcPr>
          <w:p w:rsidR="00C75ADB" w:rsidRPr="00A06425" w:rsidRDefault="00C75ADB" w:rsidP="00A06425">
            <w:pPr>
              <w:spacing w:before="120" w:after="120"/>
              <w:jc w:val="center"/>
              <w:rPr>
                <w:rFonts w:asciiTheme="minorHAnsi" w:hAnsiTheme="minorHAnsi" w:cstheme="minorHAnsi"/>
                <w:b/>
                <w:sz w:val="22"/>
                <w:szCs w:val="22"/>
              </w:rPr>
            </w:pPr>
          </w:p>
        </w:tc>
        <w:tc>
          <w:tcPr>
            <w:tcW w:w="1134" w:type="dxa"/>
            <w:shd w:val="clear" w:color="auto" w:fill="auto"/>
          </w:tcPr>
          <w:p w:rsidR="00C75ADB" w:rsidRPr="00A06425" w:rsidRDefault="00C75ADB" w:rsidP="004D086F">
            <w:pPr>
              <w:spacing w:before="60" w:after="60"/>
              <w:jc w:val="center"/>
              <w:rPr>
                <w:rFonts w:asciiTheme="minorHAnsi" w:hAnsiTheme="minorHAnsi" w:cstheme="minorHAnsi"/>
                <w:b/>
                <w:sz w:val="22"/>
                <w:szCs w:val="22"/>
              </w:rPr>
            </w:pPr>
          </w:p>
        </w:tc>
        <w:tc>
          <w:tcPr>
            <w:tcW w:w="1843" w:type="dxa"/>
            <w:shd w:val="clear" w:color="auto" w:fill="auto"/>
          </w:tcPr>
          <w:p w:rsidR="00C75ADB" w:rsidRPr="00A06425" w:rsidRDefault="003254F1" w:rsidP="004D086F">
            <w:pPr>
              <w:jc w:val="center"/>
              <w:rPr>
                <w:rFonts w:asciiTheme="minorHAnsi" w:hAnsiTheme="minorHAnsi" w:cstheme="minorHAnsi"/>
                <w:sz w:val="22"/>
                <w:szCs w:val="22"/>
              </w:rPr>
            </w:pPr>
            <w:r>
              <w:rPr>
                <w:rFonts w:asciiTheme="minorHAnsi" w:hAnsiTheme="minorHAnsi" w:cstheme="minorHAnsi"/>
                <w:sz w:val="22"/>
                <w:szCs w:val="22"/>
              </w:rPr>
              <w:t>Art. 24</w:t>
            </w:r>
          </w:p>
        </w:tc>
        <w:tc>
          <w:tcPr>
            <w:tcW w:w="7938" w:type="dxa"/>
            <w:shd w:val="clear" w:color="auto" w:fill="auto"/>
          </w:tcPr>
          <w:p w:rsidR="00D439F6" w:rsidRDefault="00E17A98" w:rsidP="00E17A98">
            <w:pPr>
              <w:jc w:val="both"/>
              <w:rPr>
                <w:rFonts w:asciiTheme="minorHAnsi" w:hAnsiTheme="minorHAnsi" w:cstheme="minorHAnsi"/>
                <w:sz w:val="22"/>
                <w:szCs w:val="22"/>
              </w:rPr>
            </w:pPr>
            <w:r>
              <w:rPr>
                <w:rFonts w:asciiTheme="minorHAnsi" w:hAnsiTheme="minorHAnsi" w:cstheme="minorHAnsi"/>
                <w:sz w:val="22"/>
                <w:szCs w:val="22"/>
              </w:rPr>
              <w:t xml:space="preserve">W przypadku zmiany </w:t>
            </w:r>
            <w:r w:rsidRPr="00E17A98">
              <w:rPr>
                <w:rFonts w:asciiTheme="minorHAnsi" w:hAnsiTheme="minorHAnsi" w:cstheme="minorHAnsi"/>
                <w:sz w:val="22"/>
                <w:szCs w:val="22"/>
              </w:rPr>
              <w:t>ustaw</w:t>
            </w:r>
            <w:r>
              <w:rPr>
                <w:rFonts w:asciiTheme="minorHAnsi" w:hAnsiTheme="minorHAnsi" w:cstheme="minorHAnsi"/>
                <w:sz w:val="22"/>
                <w:szCs w:val="22"/>
              </w:rPr>
              <w:t>y</w:t>
            </w:r>
            <w:r w:rsidRPr="00E17A98">
              <w:rPr>
                <w:rFonts w:asciiTheme="minorHAnsi" w:hAnsiTheme="minorHAnsi" w:cstheme="minorHAnsi"/>
                <w:sz w:val="22"/>
                <w:szCs w:val="22"/>
              </w:rPr>
              <w:t xml:space="preserve"> z dnia 15 lipca 2011 r. o kontroli w administracji rządowej</w:t>
            </w:r>
            <w:r w:rsidR="00513067">
              <w:rPr>
                <w:rFonts w:asciiTheme="minorHAnsi" w:hAnsiTheme="minorHAnsi" w:cstheme="minorHAnsi"/>
                <w:sz w:val="22"/>
                <w:szCs w:val="22"/>
              </w:rPr>
              <w:t xml:space="preserve"> wyjaśnienia wymaga</w:t>
            </w:r>
            <w:r w:rsidR="00D439F6">
              <w:rPr>
                <w:rFonts w:asciiTheme="minorHAnsi" w:hAnsiTheme="minorHAnsi" w:cstheme="minorHAnsi"/>
                <w:sz w:val="22"/>
                <w:szCs w:val="22"/>
              </w:rPr>
              <w:t>:</w:t>
            </w:r>
          </w:p>
          <w:p w:rsidR="00C75ADB" w:rsidRDefault="00D439F6" w:rsidP="00E17A98">
            <w:pPr>
              <w:jc w:val="both"/>
              <w:rPr>
                <w:rFonts w:asciiTheme="minorHAnsi" w:hAnsiTheme="minorHAnsi" w:cstheme="minorHAnsi"/>
                <w:sz w:val="22"/>
                <w:szCs w:val="22"/>
              </w:rPr>
            </w:pPr>
            <w:r>
              <w:rPr>
                <w:rFonts w:asciiTheme="minorHAnsi" w:hAnsiTheme="minorHAnsi" w:cstheme="minorHAnsi"/>
                <w:sz w:val="22"/>
                <w:szCs w:val="22"/>
              </w:rPr>
              <w:t>1)</w:t>
            </w:r>
            <w:r w:rsidR="00513067">
              <w:rPr>
                <w:rFonts w:asciiTheme="minorHAnsi" w:hAnsiTheme="minorHAnsi" w:cstheme="minorHAnsi"/>
                <w:sz w:val="22"/>
                <w:szCs w:val="22"/>
              </w:rPr>
              <w:t xml:space="preserve"> </w:t>
            </w:r>
            <w:r w:rsidR="003254F1">
              <w:rPr>
                <w:rFonts w:asciiTheme="minorHAnsi" w:hAnsiTheme="minorHAnsi" w:cstheme="minorHAnsi"/>
                <w:sz w:val="22"/>
                <w:szCs w:val="22"/>
              </w:rPr>
              <w:t xml:space="preserve">czy </w:t>
            </w:r>
            <w:r w:rsidR="001F7E76">
              <w:rPr>
                <w:rFonts w:asciiTheme="minorHAnsi" w:hAnsiTheme="minorHAnsi" w:cstheme="minorHAnsi"/>
                <w:sz w:val="22"/>
                <w:szCs w:val="22"/>
              </w:rPr>
              <w:t>projektowanego przepisu art. 13 ust. 3 nie należy uzupełnić o</w:t>
            </w:r>
            <w:r w:rsidR="001F7E76">
              <w:t xml:space="preserve"> </w:t>
            </w:r>
            <w:r w:rsidR="001F7E76" w:rsidRPr="001F7E76">
              <w:rPr>
                <w:rFonts w:asciiTheme="minorHAnsi" w:hAnsiTheme="minorHAnsi" w:cstheme="minorHAnsi"/>
                <w:sz w:val="22"/>
                <w:szCs w:val="22"/>
              </w:rPr>
              <w:t>zaawansowaną pieczę</w:t>
            </w:r>
            <w:r w:rsidR="001F7E76">
              <w:rPr>
                <w:rFonts w:asciiTheme="minorHAnsi" w:hAnsiTheme="minorHAnsi" w:cstheme="minorHAnsi"/>
                <w:sz w:val="22"/>
                <w:szCs w:val="22"/>
              </w:rPr>
              <w:t>ć</w:t>
            </w:r>
            <w:r w:rsidR="001F7E76" w:rsidRPr="001F7E76">
              <w:rPr>
                <w:rFonts w:asciiTheme="minorHAnsi" w:hAnsiTheme="minorHAnsi" w:cstheme="minorHAnsi"/>
                <w:sz w:val="22"/>
                <w:szCs w:val="22"/>
              </w:rPr>
              <w:t xml:space="preserve"> elektroniczną</w:t>
            </w:r>
            <w:r w:rsidR="00513067">
              <w:rPr>
                <w:rFonts w:asciiTheme="minorHAnsi" w:hAnsiTheme="minorHAnsi" w:cstheme="minorHAnsi"/>
                <w:sz w:val="22"/>
                <w:szCs w:val="22"/>
              </w:rPr>
              <w:t>;</w:t>
            </w:r>
          </w:p>
          <w:p w:rsidR="00513067" w:rsidRDefault="00513067" w:rsidP="00E17A98">
            <w:pPr>
              <w:jc w:val="both"/>
              <w:rPr>
                <w:rFonts w:asciiTheme="minorHAnsi" w:hAnsiTheme="minorHAnsi" w:cstheme="minorHAnsi"/>
                <w:sz w:val="22"/>
                <w:szCs w:val="22"/>
              </w:rPr>
            </w:pPr>
            <w:r>
              <w:rPr>
                <w:rFonts w:asciiTheme="minorHAnsi" w:hAnsiTheme="minorHAnsi" w:cstheme="minorHAnsi"/>
                <w:sz w:val="22"/>
                <w:szCs w:val="22"/>
              </w:rPr>
              <w:t>2) czy w przypadku dodawanego ust. 1a w art. 21 chodzi o realizowanie czynności kontrolnych z wykorzystaniem informatycznych nośników danych?</w:t>
            </w:r>
          </w:p>
          <w:p w:rsidR="003641A0" w:rsidRPr="00A06425" w:rsidRDefault="003C211D" w:rsidP="00172BED">
            <w:pPr>
              <w:jc w:val="both"/>
              <w:rPr>
                <w:rFonts w:asciiTheme="minorHAnsi" w:hAnsiTheme="minorHAnsi" w:cstheme="minorHAnsi"/>
                <w:sz w:val="22"/>
                <w:szCs w:val="22"/>
              </w:rPr>
            </w:pPr>
            <w:r>
              <w:rPr>
                <w:rFonts w:asciiTheme="minorHAnsi" w:hAnsiTheme="minorHAnsi" w:cstheme="minorHAnsi"/>
                <w:sz w:val="22"/>
                <w:szCs w:val="22"/>
              </w:rPr>
              <w:t xml:space="preserve">3) odnosząc się do </w:t>
            </w:r>
            <w:r w:rsidR="003641A0">
              <w:rPr>
                <w:rFonts w:asciiTheme="minorHAnsi" w:hAnsiTheme="minorHAnsi" w:cstheme="minorHAnsi"/>
                <w:sz w:val="22"/>
                <w:szCs w:val="22"/>
              </w:rPr>
              <w:t xml:space="preserve">wskazanego w projektowanym art. 22 pkt 3a </w:t>
            </w:r>
            <w:r w:rsidR="00F44EA5">
              <w:rPr>
                <w:rFonts w:asciiTheme="minorHAnsi" w:hAnsiTheme="minorHAnsi" w:cstheme="minorHAnsi"/>
                <w:sz w:val="22"/>
                <w:szCs w:val="22"/>
              </w:rPr>
              <w:t xml:space="preserve">oraz art. 25 ust. 2 </w:t>
            </w:r>
            <w:r w:rsidR="003641A0">
              <w:rPr>
                <w:rFonts w:asciiTheme="minorHAnsi" w:hAnsiTheme="minorHAnsi" w:cstheme="minorHAnsi"/>
                <w:sz w:val="22"/>
                <w:szCs w:val="22"/>
              </w:rPr>
              <w:t xml:space="preserve">pojęcia </w:t>
            </w:r>
            <w:r w:rsidR="003641A0" w:rsidRPr="003641A0">
              <w:rPr>
                <w:rFonts w:asciiTheme="minorHAnsi" w:hAnsiTheme="minorHAnsi" w:cstheme="minorHAnsi"/>
                <w:i/>
                <w:sz w:val="22"/>
                <w:szCs w:val="22"/>
              </w:rPr>
              <w:t>systemu</w:t>
            </w:r>
            <w:r w:rsidR="003641A0">
              <w:rPr>
                <w:rFonts w:asciiTheme="minorHAnsi" w:hAnsiTheme="minorHAnsi" w:cstheme="minorHAnsi"/>
                <w:sz w:val="22"/>
                <w:szCs w:val="22"/>
              </w:rPr>
              <w:t xml:space="preserve"> </w:t>
            </w:r>
            <w:r w:rsidR="003641A0" w:rsidRPr="003641A0">
              <w:rPr>
                <w:rFonts w:asciiTheme="minorHAnsi" w:hAnsiTheme="minorHAnsi" w:cstheme="minorHAnsi"/>
                <w:i/>
                <w:sz w:val="22"/>
                <w:szCs w:val="22"/>
              </w:rPr>
              <w:t>informatycznego</w:t>
            </w:r>
            <w:r w:rsidR="003641A0">
              <w:rPr>
                <w:rFonts w:asciiTheme="minorHAnsi" w:hAnsiTheme="minorHAnsi" w:cstheme="minorHAnsi"/>
                <w:sz w:val="22"/>
                <w:szCs w:val="22"/>
              </w:rPr>
              <w:t xml:space="preserve"> wskazać należy, że zgodnie z terminologi</w:t>
            </w:r>
            <w:r w:rsidR="00A862F5">
              <w:rPr>
                <w:rFonts w:asciiTheme="minorHAnsi" w:hAnsiTheme="minorHAnsi" w:cstheme="minorHAnsi"/>
                <w:sz w:val="22"/>
                <w:szCs w:val="22"/>
              </w:rPr>
              <w:t>ą</w:t>
            </w:r>
            <w:r w:rsidR="003641A0">
              <w:rPr>
                <w:rFonts w:asciiTheme="minorHAnsi" w:hAnsiTheme="minorHAnsi" w:cstheme="minorHAnsi"/>
                <w:sz w:val="22"/>
                <w:szCs w:val="22"/>
              </w:rPr>
              <w:t xml:space="preserve"> ustawy o informatyzacji</w:t>
            </w:r>
            <w:r w:rsidR="00172BED">
              <w:rPr>
                <w:rFonts w:asciiTheme="minorHAnsi" w:hAnsiTheme="minorHAnsi" w:cstheme="minorHAnsi"/>
                <w:sz w:val="22"/>
                <w:szCs w:val="22"/>
              </w:rPr>
              <w:t xml:space="preserve"> działalności podmiotów realizujących zadania publiczne</w:t>
            </w:r>
            <w:r w:rsidR="003641A0">
              <w:rPr>
                <w:rFonts w:asciiTheme="minorHAnsi" w:hAnsiTheme="minorHAnsi" w:cstheme="minorHAnsi"/>
                <w:sz w:val="22"/>
                <w:szCs w:val="22"/>
              </w:rPr>
              <w:t xml:space="preserve"> w krajowym systemie prawa prawodawca posługuje się pojęciem</w:t>
            </w:r>
            <w:r w:rsidR="00172BED">
              <w:rPr>
                <w:rFonts w:asciiTheme="minorHAnsi" w:hAnsiTheme="minorHAnsi" w:cstheme="minorHAnsi"/>
                <w:sz w:val="22"/>
                <w:szCs w:val="22"/>
              </w:rPr>
              <w:t xml:space="preserve"> </w:t>
            </w:r>
            <w:r w:rsidR="003641A0" w:rsidRPr="00172BED">
              <w:rPr>
                <w:rFonts w:asciiTheme="minorHAnsi" w:hAnsiTheme="minorHAnsi" w:cstheme="minorHAnsi"/>
                <w:sz w:val="22"/>
                <w:szCs w:val="22"/>
                <w:u w:val="single"/>
              </w:rPr>
              <w:t>system teleinformatycznego</w:t>
            </w:r>
            <w:r w:rsidR="003641A0" w:rsidRPr="003641A0">
              <w:rPr>
                <w:rFonts w:asciiTheme="minorHAnsi" w:hAnsiTheme="minorHAnsi" w:cstheme="minorHAnsi"/>
                <w:sz w:val="22"/>
                <w:szCs w:val="22"/>
              </w:rPr>
              <w:t xml:space="preserve"> </w:t>
            </w:r>
            <w:r w:rsidR="003641A0">
              <w:rPr>
                <w:rFonts w:asciiTheme="minorHAnsi" w:hAnsiTheme="minorHAnsi" w:cstheme="minorHAnsi"/>
                <w:sz w:val="22"/>
                <w:szCs w:val="22"/>
              </w:rPr>
              <w:t>–</w:t>
            </w:r>
            <w:r w:rsidR="003641A0" w:rsidRPr="003641A0">
              <w:rPr>
                <w:rFonts w:asciiTheme="minorHAnsi" w:hAnsiTheme="minorHAnsi" w:cstheme="minorHAnsi"/>
                <w:sz w:val="22"/>
                <w:szCs w:val="22"/>
              </w:rPr>
              <w:t xml:space="preserve"> </w:t>
            </w:r>
            <w:r w:rsidR="003641A0">
              <w:rPr>
                <w:rFonts w:asciiTheme="minorHAnsi" w:hAnsiTheme="minorHAnsi" w:cstheme="minorHAnsi"/>
                <w:sz w:val="22"/>
                <w:szCs w:val="22"/>
              </w:rPr>
              <w:t xml:space="preserve">jako </w:t>
            </w:r>
            <w:r w:rsidR="003641A0" w:rsidRPr="003641A0">
              <w:rPr>
                <w:rFonts w:asciiTheme="minorHAnsi" w:hAnsiTheme="minorHAnsi" w:cstheme="minorHAnsi"/>
                <w:sz w:val="22"/>
                <w:szCs w:val="22"/>
              </w:rPr>
              <w:t>zesp</w:t>
            </w:r>
            <w:r w:rsidR="003641A0">
              <w:rPr>
                <w:rFonts w:asciiTheme="minorHAnsi" w:hAnsiTheme="minorHAnsi" w:cstheme="minorHAnsi"/>
                <w:sz w:val="22"/>
                <w:szCs w:val="22"/>
              </w:rPr>
              <w:t>ołu</w:t>
            </w:r>
            <w:r w:rsidR="003641A0" w:rsidRPr="003641A0">
              <w:rPr>
                <w:rFonts w:asciiTheme="minorHAnsi" w:hAnsiTheme="minorHAnsi" w:cstheme="minorHAnsi"/>
                <w:sz w:val="22"/>
                <w:szCs w:val="22"/>
              </w:rPr>
              <w:t xml:space="preserve"> współpracujących ze sobą urządzeń informatycznych i oprogramowania zapewniając</w:t>
            </w:r>
            <w:r w:rsidR="003641A0">
              <w:rPr>
                <w:rFonts w:asciiTheme="minorHAnsi" w:hAnsiTheme="minorHAnsi" w:cstheme="minorHAnsi"/>
                <w:sz w:val="22"/>
                <w:szCs w:val="22"/>
              </w:rPr>
              <w:t>ego</w:t>
            </w:r>
            <w:r w:rsidR="003641A0" w:rsidRPr="003641A0">
              <w:rPr>
                <w:rFonts w:asciiTheme="minorHAnsi" w:hAnsiTheme="minorHAnsi" w:cstheme="minorHAnsi"/>
                <w:sz w:val="22"/>
                <w:szCs w:val="22"/>
              </w:rPr>
              <w:t xml:space="preserve"> przetwarzanie, przechowywanie, a także wysyłanie i odbieranie danych przez sieci telekomunikacyjne za pomocą właściwego dla danego rodzaju sieci telekomunikacyjnego urządzenia końcowego w rozumieniu przepisów ustawy z dnia 16 </w:t>
            </w:r>
            <w:r w:rsidR="003641A0" w:rsidRPr="003641A0">
              <w:rPr>
                <w:rFonts w:asciiTheme="minorHAnsi" w:hAnsiTheme="minorHAnsi" w:cstheme="minorHAnsi"/>
                <w:sz w:val="22"/>
                <w:szCs w:val="22"/>
              </w:rPr>
              <w:lastRenderedPageBreak/>
              <w:t>lipca 2004 r. - Prawo telekomunikacyjne</w:t>
            </w:r>
            <w:r w:rsidR="003641A0">
              <w:rPr>
                <w:rFonts w:asciiTheme="minorHAnsi" w:hAnsiTheme="minorHAnsi" w:cstheme="minorHAnsi"/>
                <w:sz w:val="22"/>
                <w:szCs w:val="22"/>
              </w:rPr>
              <w:t>. We wskazanym zakresie przepis</w:t>
            </w:r>
            <w:r w:rsidR="007E029D">
              <w:rPr>
                <w:rFonts w:asciiTheme="minorHAnsi" w:hAnsiTheme="minorHAnsi" w:cstheme="minorHAnsi"/>
                <w:sz w:val="22"/>
                <w:szCs w:val="22"/>
              </w:rPr>
              <w:t>y</w:t>
            </w:r>
            <w:r w:rsidR="003641A0">
              <w:rPr>
                <w:rFonts w:asciiTheme="minorHAnsi" w:hAnsiTheme="minorHAnsi" w:cstheme="minorHAnsi"/>
                <w:sz w:val="22"/>
                <w:szCs w:val="22"/>
              </w:rPr>
              <w:t xml:space="preserve"> </w:t>
            </w:r>
            <w:r w:rsidR="007E029D" w:rsidRPr="007E029D">
              <w:rPr>
                <w:rFonts w:asciiTheme="minorHAnsi" w:hAnsiTheme="minorHAnsi" w:cstheme="minorHAnsi"/>
                <w:sz w:val="22"/>
                <w:szCs w:val="22"/>
              </w:rPr>
              <w:t xml:space="preserve">art. 22 pkt 3a </w:t>
            </w:r>
            <w:r w:rsidR="007E029D">
              <w:rPr>
                <w:rFonts w:asciiTheme="minorHAnsi" w:hAnsiTheme="minorHAnsi" w:cstheme="minorHAnsi"/>
                <w:sz w:val="22"/>
                <w:szCs w:val="22"/>
              </w:rPr>
              <w:t xml:space="preserve">i art. 25 ust. 2 </w:t>
            </w:r>
            <w:r w:rsidR="003641A0">
              <w:rPr>
                <w:rFonts w:asciiTheme="minorHAnsi" w:hAnsiTheme="minorHAnsi" w:cstheme="minorHAnsi"/>
                <w:sz w:val="22"/>
                <w:szCs w:val="22"/>
              </w:rPr>
              <w:t>wymaga</w:t>
            </w:r>
            <w:r w:rsidR="007E029D">
              <w:rPr>
                <w:rFonts w:asciiTheme="minorHAnsi" w:hAnsiTheme="minorHAnsi" w:cstheme="minorHAnsi"/>
                <w:sz w:val="22"/>
                <w:szCs w:val="22"/>
              </w:rPr>
              <w:t>ją</w:t>
            </w:r>
            <w:r w:rsidR="003641A0">
              <w:rPr>
                <w:rFonts w:asciiTheme="minorHAnsi" w:hAnsiTheme="minorHAnsi" w:cstheme="minorHAnsi"/>
                <w:sz w:val="22"/>
                <w:szCs w:val="22"/>
              </w:rPr>
              <w:t xml:space="preserve"> więc </w:t>
            </w:r>
            <w:r w:rsidR="007E029D">
              <w:rPr>
                <w:rFonts w:asciiTheme="minorHAnsi" w:hAnsiTheme="minorHAnsi" w:cstheme="minorHAnsi"/>
                <w:sz w:val="22"/>
                <w:szCs w:val="22"/>
              </w:rPr>
              <w:t>ponown</w:t>
            </w:r>
            <w:r w:rsidR="00327979">
              <w:rPr>
                <w:rFonts w:asciiTheme="minorHAnsi" w:hAnsiTheme="minorHAnsi" w:cstheme="minorHAnsi"/>
                <w:sz w:val="22"/>
                <w:szCs w:val="22"/>
              </w:rPr>
              <w:t>ej</w:t>
            </w:r>
            <w:r w:rsidR="003641A0">
              <w:rPr>
                <w:rFonts w:asciiTheme="minorHAnsi" w:hAnsiTheme="minorHAnsi" w:cstheme="minorHAnsi"/>
                <w:sz w:val="22"/>
                <w:szCs w:val="22"/>
              </w:rPr>
              <w:t xml:space="preserve"> analizy i </w:t>
            </w:r>
            <w:r w:rsidR="007E029D">
              <w:rPr>
                <w:rFonts w:asciiTheme="minorHAnsi" w:hAnsiTheme="minorHAnsi" w:cstheme="minorHAnsi"/>
                <w:sz w:val="22"/>
                <w:szCs w:val="22"/>
              </w:rPr>
              <w:t xml:space="preserve">odpowiedniej </w:t>
            </w:r>
            <w:r w:rsidR="003641A0">
              <w:rPr>
                <w:rFonts w:asciiTheme="minorHAnsi" w:hAnsiTheme="minorHAnsi" w:cstheme="minorHAnsi"/>
                <w:sz w:val="22"/>
                <w:szCs w:val="22"/>
              </w:rPr>
              <w:t>korekty</w:t>
            </w:r>
            <w:r w:rsidR="000A46E0">
              <w:rPr>
                <w:rFonts w:asciiTheme="minorHAnsi" w:hAnsiTheme="minorHAnsi" w:cstheme="minorHAnsi"/>
                <w:sz w:val="22"/>
                <w:szCs w:val="22"/>
              </w:rPr>
              <w:t>.</w:t>
            </w:r>
          </w:p>
        </w:tc>
        <w:tc>
          <w:tcPr>
            <w:tcW w:w="2552" w:type="dxa"/>
            <w:shd w:val="clear" w:color="auto" w:fill="auto"/>
          </w:tcPr>
          <w:p w:rsidR="00C75ADB" w:rsidRPr="00A06425" w:rsidRDefault="00C75ADB" w:rsidP="004D086F">
            <w:pPr>
              <w:jc w:val="center"/>
              <w:rPr>
                <w:rFonts w:asciiTheme="minorHAnsi" w:hAnsiTheme="minorHAnsi" w:cstheme="minorHAnsi"/>
                <w:sz w:val="22"/>
                <w:szCs w:val="22"/>
              </w:rPr>
            </w:pPr>
          </w:p>
        </w:tc>
        <w:tc>
          <w:tcPr>
            <w:tcW w:w="1359" w:type="dxa"/>
          </w:tcPr>
          <w:p w:rsidR="00C75ADB" w:rsidRPr="00A06425" w:rsidRDefault="00C75ADB" w:rsidP="004D086F">
            <w:pPr>
              <w:jc w:val="center"/>
              <w:rPr>
                <w:rFonts w:asciiTheme="minorHAnsi" w:hAnsiTheme="minorHAnsi" w:cstheme="minorHAnsi"/>
                <w:sz w:val="22"/>
                <w:szCs w:val="22"/>
              </w:rPr>
            </w:pPr>
          </w:p>
        </w:tc>
      </w:tr>
      <w:tr w:rsidR="00C75ADB" w:rsidRPr="00A06425" w:rsidTr="006976D6">
        <w:tc>
          <w:tcPr>
            <w:tcW w:w="562" w:type="dxa"/>
            <w:shd w:val="clear" w:color="auto" w:fill="auto"/>
          </w:tcPr>
          <w:p w:rsidR="00C75ADB" w:rsidRPr="00A06425" w:rsidRDefault="00C75ADB" w:rsidP="00A06425">
            <w:pPr>
              <w:spacing w:before="120" w:after="120"/>
              <w:jc w:val="center"/>
              <w:rPr>
                <w:rFonts w:asciiTheme="minorHAnsi" w:hAnsiTheme="minorHAnsi" w:cstheme="minorHAnsi"/>
                <w:b/>
                <w:sz w:val="22"/>
                <w:szCs w:val="22"/>
              </w:rPr>
            </w:pPr>
          </w:p>
        </w:tc>
        <w:tc>
          <w:tcPr>
            <w:tcW w:w="1134" w:type="dxa"/>
            <w:shd w:val="clear" w:color="auto" w:fill="auto"/>
          </w:tcPr>
          <w:p w:rsidR="00C75ADB" w:rsidRPr="00A06425" w:rsidRDefault="00C75ADB" w:rsidP="004D086F">
            <w:pPr>
              <w:spacing w:before="60" w:after="60"/>
              <w:jc w:val="center"/>
              <w:rPr>
                <w:rFonts w:asciiTheme="minorHAnsi" w:hAnsiTheme="minorHAnsi" w:cstheme="minorHAnsi"/>
                <w:b/>
                <w:sz w:val="22"/>
                <w:szCs w:val="22"/>
              </w:rPr>
            </w:pPr>
          </w:p>
        </w:tc>
        <w:tc>
          <w:tcPr>
            <w:tcW w:w="1843" w:type="dxa"/>
            <w:shd w:val="clear" w:color="auto" w:fill="auto"/>
          </w:tcPr>
          <w:p w:rsidR="00C75ADB" w:rsidRPr="00A06425" w:rsidRDefault="000A46E0" w:rsidP="004D086F">
            <w:pPr>
              <w:jc w:val="center"/>
              <w:rPr>
                <w:rFonts w:asciiTheme="minorHAnsi" w:hAnsiTheme="minorHAnsi" w:cstheme="minorHAnsi"/>
                <w:sz w:val="22"/>
                <w:szCs w:val="22"/>
              </w:rPr>
            </w:pPr>
            <w:r>
              <w:rPr>
                <w:rFonts w:asciiTheme="minorHAnsi" w:hAnsiTheme="minorHAnsi" w:cstheme="minorHAnsi"/>
                <w:sz w:val="22"/>
                <w:szCs w:val="22"/>
              </w:rPr>
              <w:t xml:space="preserve">Art. </w:t>
            </w:r>
            <w:r w:rsidR="00403B34">
              <w:rPr>
                <w:rFonts w:asciiTheme="minorHAnsi" w:hAnsiTheme="minorHAnsi" w:cstheme="minorHAnsi"/>
                <w:sz w:val="22"/>
                <w:szCs w:val="22"/>
              </w:rPr>
              <w:t>30</w:t>
            </w:r>
          </w:p>
        </w:tc>
        <w:tc>
          <w:tcPr>
            <w:tcW w:w="7938" w:type="dxa"/>
            <w:shd w:val="clear" w:color="auto" w:fill="auto"/>
          </w:tcPr>
          <w:p w:rsidR="00C75ADB" w:rsidRPr="00A06425" w:rsidRDefault="00403B34" w:rsidP="00527977">
            <w:pPr>
              <w:jc w:val="both"/>
              <w:rPr>
                <w:rFonts w:asciiTheme="minorHAnsi" w:hAnsiTheme="minorHAnsi" w:cstheme="minorHAnsi"/>
                <w:sz w:val="22"/>
                <w:szCs w:val="22"/>
              </w:rPr>
            </w:pPr>
            <w:r>
              <w:rPr>
                <w:rFonts w:asciiTheme="minorHAnsi" w:hAnsiTheme="minorHAnsi" w:cstheme="minorHAnsi"/>
                <w:sz w:val="22"/>
                <w:szCs w:val="22"/>
              </w:rPr>
              <w:t xml:space="preserve">W przypadku </w:t>
            </w:r>
            <w:r w:rsidR="00992CBD">
              <w:rPr>
                <w:rFonts w:asciiTheme="minorHAnsi" w:hAnsiTheme="minorHAnsi" w:cstheme="minorHAnsi"/>
                <w:sz w:val="22"/>
                <w:szCs w:val="22"/>
              </w:rPr>
              <w:t xml:space="preserve">zmian w ustawie z dnia </w:t>
            </w:r>
            <w:r w:rsidR="00992CBD" w:rsidRPr="00992CBD">
              <w:rPr>
                <w:rFonts w:asciiTheme="minorHAnsi" w:hAnsiTheme="minorHAnsi" w:cstheme="minorHAnsi"/>
                <w:sz w:val="22"/>
                <w:szCs w:val="22"/>
              </w:rPr>
              <w:t>9 maja 2018 r. o przetwarzaniu danych dotyczących przelotu pasażera</w:t>
            </w:r>
            <w:r w:rsidR="00992CBD">
              <w:rPr>
                <w:rFonts w:asciiTheme="minorHAnsi" w:hAnsiTheme="minorHAnsi" w:cstheme="minorHAnsi"/>
                <w:sz w:val="22"/>
                <w:szCs w:val="22"/>
              </w:rPr>
              <w:t>, uzasadnianych koniecznością dostosowania</w:t>
            </w:r>
            <w:r w:rsidR="00992CBD" w:rsidRPr="00992CBD">
              <w:rPr>
                <w:rFonts w:asciiTheme="minorHAnsi" w:hAnsiTheme="minorHAnsi" w:cstheme="minorHAnsi"/>
                <w:sz w:val="22"/>
                <w:szCs w:val="22"/>
              </w:rPr>
              <w:t xml:space="preserve"> </w:t>
            </w:r>
            <w:r w:rsidR="00992CBD">
              <w:rPr>
                <w:rFonts w:asciiTheme="minorHAnsi" w:hAnsiTheme="minorHAnsi" w:cstheme="minorHAnsi"/>
                <w:sz w:val="22"/>
                <w:szCs w:val="22"/>
              </w:rPr>
              <w:t>„</w:t>
            </w:r>
            <w:r w:rsidR="00992CBD" w:rsidRPr="00992CBD">
              <w:rPr>
                <w:rFonts w:asciiTheme="minorHAnsi" w:hAnsiTheme="minorHAnsi" w:cstheme="minorHAnsi"/>
                <w:sz w:val="22"/>
                <w:szCs w:val="22"/>
              </w:rPr>
              <w:t>do doręczeń elektronicznych</w:t>
            </w:r>
            <w:r w:rsidR="00992CBD">
              <w:rPr>
                <w:rFonts w:asciiTheme="minorHAnsi" w:hAnsiTheme="minorHAnsi" w:cstheme="minorHAnsi"/>
                <w:sz w:val="22"/>
                <w:szCs w:val="22"/>
              </w:rPr>
              <w:t xml:space="preserve">”, dodatkowego wyjaśnienia wymaga kwestia rezygnacji z dostarczania korespondencji pełnomocnikowi, jeżeli został ustanowiony (uchylany </w:t>
            </w:r>
            <w:r w:rsidR="00681350">
              <w:rPr>
                <w:rFonts w:asciiTheme="minorHAnsi" w:hAnsiTheme="minorHAnsi" w:cstheme="minorHAnsi"/>
                <w:sz w:val="22"/>
                <w:szCs w:val="22"/>
              </w:rPr>
              <w:t xml:space="preserve">przepis art. 71). </w:t>
            </w:r>
          </w:p>
        </w:tc>
        <w:tc>
          <w:tcPr>
            <w:tcW w:w="2552" w:type="dxa"/>
            <w:shd w:val="clear" w:color="auto" w:fill="auto"/>
          </w:tcPr>
          <w:p w:rsidR="00C75ADB" w:rsidRPr="00A06425" w:rsidRDefault="00C75ADB" w:rsidP="004D086F">
            <w:pPr>
              <w:jc w:val="center"/>
              <w:rPr>
                <w:rFonts w:asciiTheme="minorHAnsi" w:hAnsiTheme="minorHAnsi" w:cstheme="minorHAnsi"/>
                <w:sz w:val="22"/>
                <w:szCs w:val="22"/>
              </w:rPr>
            </w:pPr>
          </w:p>
        </w:tc>
        <w:tc>
          <w:tcPr>
            <w:tcW w:w="1359" w:type="dxa"/>
          </w:tcPr>
          <w:p w:rsidR="00C75ADB" w:rsidRPr="00A06425" w:rsidRDefault="00C75ADB" w:rsidP="004D086F">
            <w:pPr>
              <w:jc w:val="center"/>
              <w:rPr>
                <w:rFonts w:asciiTheme="minorHAnsi" w:hAnsiTheme="minorHAnsi" w:cstheme="minorHAnsi"/>
                <w:sz w:val="22"/>
                <w:szCs w:val="22"/>
              </w:rPr>
            </w:pPr>
          </w:p>
        </w:tc>
      </w:tr>
      <w:tr w:rsidR="00C75ADB" w:rsidRPr="00A06425" w:rsidTr="006976D6">
        <w:tc>
          <w:tcPr>
            <w:tcW w:w="562" w:type="dxa"/>
            <w:shd w:val="clear" w:color="auto" w:fill="auto"/>
          </w:tcPr>
          <w:p w:rsidR="00C75ADB" w:rsidRPr="00A06425" w:rsidRDefault="00C75ADB" w:rsidP="00A06425">
            <w:pPr>
              <w:spacing w:before="120" w:after="120"/>
              <w:jc w:val="center"/>
              <w:rPr>
                <w:rFonts w:asciiTheme="minorHAnsi" w:hAnsiTheme="minorHAnsi" w:cstheme="minorHAnsi"/>
                <w:b/>
                <w:sz w:val="22"/>
                <w:szCs w:val="22"/>
              </w:rPr>
            </w:pPr>
          </w:p>
        </w:tc>
        <w:tc>
          <w:tcPr>
            <w:tcW w:w="1134" w:type="dxa"/>
            <w:shd w:val="clear" w:color="auto" w:fill="auto"/>
          </w:tcPr>
          <w:p w:rsidR="00C75ADB" w:rsidRPr="00A06425" w:rsidRDefault="00C75ADB" w:rsidP="004D086F">
            <w:pPr>
              <w:spacing w:before="60" w:after="60"/>
              <w:jc w:val="center"/>
              <w:rPr>
                <w:rFonts w:asciiTheme="minorHAnsi" w:hAnsiTheme="minorHAnsi" w:cstheme="minorHAnsi"/>
                <w:b/>
                <w:sz w:val="22"/>
                <w:szCs w:val="22"/>
              </w:rPr>
            </w:pPr>
          </w:p>
        </w:tc>
        <w:tc>
          <w:tcPr>
            <w:tcW w:w="1843" w:type="dxa"/>
            <w:shd w:val="clear" w:color="auto" w:fill="auto"/>
          </w:tcPr>
          <w:p w:rsidR="00C75ADB" w:rsidRPr="00A06425" w:rsidRDefault="001E10EF" w:rsidP="004D086F">
            <w:pPr>
              <w:jc w:val="center"/>
              <w:rPr>
                <w:rFonts w:asciiTheme="minorHAnsi" w:hAnsiTheme="minorHAnsi" w:cstheme="minorHAnsi"/>
                <w:sz w:val="22"/>
                <w:szCs w:val="22"/>
              </w:rPr>
            </w:pPr>
            <w:r>
              <w:rPr>
                <w:rFonts w:asciiTheme="minorHAnsi" w:hAnsiTheme="minorHAnsi" w:cstheme="minorHAnsi"/>
                <w:sz w:val="22"/>
                <w:szCs w:val="22"/>
              </w:rPr>
              <w:t xml:space="preserve">Art. 31 </w:t>
            </w:r>
          </w:p>
        </w:tc>
        <w:tc>
          <w:tcPr>
            <w:tcW w:w="7938" w:type="dxa"/>
            <w:shd w:val="clear" w:color="auto" w:fill="auto"/>
          </w:tcPr>
          <w:p w:rsidR="00C75ADB" w:rsidRDefault="001E10EF" w:rsidP="001E10EF">
            <w:pPr>
              <w:jc w:val="both"/>
              <w:rPr>
                <w:rFonts w:asciiTheme="minorHAnsi" w:hAnsiTheme="minorHAnsi" w:cstheme="minorHAnsi"/>
                <w:sz w:val="22"/>
                <w:szCs w:val="22"/>
              </w:rPr>
            </w:pPr>
            <w:r>
              <w:rPr>
                <w:rFonts w:asciiTheme="minorHAnsi" w:hAnsiTheme="minorHAnsi" w:cstheme="minorHAnsi"/>
                <w:sz w:val="22"/>
                <w:szCs w:val="22"/>
              </w:rPr>
              <w:t xml:space="preserve">Odnosząc się do projektowanych zmian w ustawie </w:t>
            </w:r>
            <w:r w:rsidRPr="001E10EF">
              <w:rPr>
                <w:rFonts w:asciiTheme="minorHAnsi" w:hAnsiTheme="minorHAnsi" w:cstheme="minorHAnsi"/>
                <w:sz w:val="22"/>
                <w:szCs w:val="22"/>
              </w:rPr>
              <w:t>z dnia 20 lipca 2018 r. o Polskim Instytucie Ekonomicznym</w:t>
            </w:r>
            <w:r>
              <w:rPr>
                <w:rFonts w:asciiTheme="minorHAnsi" w:hAnsiTheme="minorHAnsi" w:cstheme="minorHAnsi"/>
                <w:sz w:val="22"/>
                <w:szCs w:val="22"/>
              </w:rPr>
              <w:t xml:space="preserve"> wskazać należy:</w:t>
            </w:r>
          </w:p>
          <w:p w:rsidR="001E10EF" w:rsidRDefault="001E10EF" w:rsidP="001E10EF">
            <w:pPr>
              <w:jc w:val="both"/>
              <w:rPr>
                <w:rFonts w:asciiTheme="minorHAnsi" w:hAnsiTheme="minorHAnsi" w:cstheme="minorHAnsi"/>
                <w:sz w:val="22"/>
                <w:szCs w:val="22"/>
              </w:rPr>
            </w:pPr>
            <w:r>
              <w:rPr>
                <w:rFonts w:asciiTheme="minorHAnsi" w:hAnsiTheme="minorHAnsi" w:cstheme="minorHAnsi"/>
                <w:sz w:val="22"/>
                <w:szCs w:val="22"/>
              </w:rPr>
              <w:t xml:space="preserve">1) dodawany w art. 3 pkt 8 wymaga korekty. Przepisy ustawy z dnia </w:t>
            </w:r>
            <w:r w:rsidRPr="001E10EF">
              <w:rPr>
                <w:rFonts w:asciiTheme="minorHAnsi" w:hAnsiTheme="minorHAnsi" w:cstheme="minorHAnsi"/>
                <w:sz w:val="22"/>
                <w:szCs w:val="22"/>
              </w:rPr>
              <w:t xml:space="preserve">6 grudnia 2006 r. </w:t>
            </w:r>
            <w:r>
              <w:rPr>
                <w:rFonts w:asciiTheme="minorHAnsi" w:hAnsiTheme="minorHAnsi" w:cstheme="minorHAnsi"/>
                <w:sz w:val="22"/>
                <w:szCs w:val="22"/>
              </w:rPr>
              <w:t>o zasadach prowadzenia polityki rozwoju w rozdziale 3b regulują</w:t>
            </w:r>
            <w:r w:rsidR="00914295">
              <w:rPr>
                <w:rFonts w:asciiTheme="minorHAnsi" w:hAnsiTheme="minorHAnsi" w:cstheme="minorHAnsi"/>
                <w:sz w:val="22"/>
                <w:szCs w:val="22"/>
              </w:rPr>
              <w:t xml:space="preserve"> bowiem kwestie</w:t>
            </w:r>
            <w:r>
              <w:rPr>
                <w:rFonts w:asciiTheme="minorHAnsi" w:hAnsiTheme="minorHAnsi" w:cstheme="minorHAnsi"/>
                <w:sz w:val="22"/>
                <w:szCs w:val="22"/>
              </w:rPr>
              <w:t xml:space="preserve"> p</w:t>
            </w:r>
            <w:r w:rsidRPr="001E10EF">
              <w:rPr>
                <w:rFonts w:asciiTheme="minorHAnsi" w:hAnsiTheme="minorHAnsi" w:cstheme="minorHAnsi"/>
                <w:sz w:val="22"/>
                <w:szCs w:val="22"/>
              </w:rPr>
              <w:t>olityk</w:t>
            </w:r>
            <w:r>
              <w:rPr>
                <w:rFonts w:asciiTheme="minorHAnsi" w:hAnsiTheme="minorHAnsi" w:cstheme="minorHAnsi"/>
                <w:sz w:val="22"/>
                <w:szCs w:val="22"/>
              </w:rPr>
              <w:t>i</w:t>
            </w:r>
            <w:r w:rsidRPr="001E10EF">
              <w:rPr>
                <w:rFonts w:asciiTheme="minorHAnsi" w:hAnsiTheme="minorHAnsi" w:cstheme="minorHAnsi"/>
                <w:sz w:val="22"/>
                <w:szCs w:val="22"/>
              </w:rPr>
              <w:t xml:space="preserve"> publiczn</w:t>
            </w:r>
            <w:r>
              <w:rPr>
                <w:rFonts w:asciiTheme="minorHAnsi" w:hAnsiTheme="minorHAnsi" w:cstheme="minorHAnsi"/>
                <w:sz w:val="22"/>
                <w:szCs w:val="22"/>
              </w:rPr>
              <w:t>ej</w:t>
            </w:r>
            <w:r w:rsidR="00914295">
              <w:rPr>
                <w:rFonts w:asciiTheme="minorHAnsi" w:hAnsiTheme="minorHAnsi" w:cstheme="minorHAnsi"/>
                <w:sz w:val="22"/>
                <w:szCs w:val="22"/>
              </w:rPr>
              <w:t>, a nie polityki publicznej państwa;</w:t>
            </w:r>
          </w:p>
          <w:p w:rsidR="00914295" w:rsidRDefault="00914295" w:rsidP="001E10EF">
            <w:pPr>
              <w:jc w:val="both"/>
              <w:rPr>
                <w:rFonts w:asciiTheme="minorHAnsi" w:hAnsiTheme="minorHAnsi" w:cstheme="minorHAnsi"/>
                <w:sz w:val="22"/>
                <w:szCs w:val="22"/>
              </w:rPr>
            </w:pPr>
            <w:r>
              <w:rPr>
                <w:rFonts w:asciiTheme="minorHAnsi" w:hAnsiTheme="minorHAnsi" w:cstheme="minorHAnsi"/>
                <w:sz w:val="22"/>
                <w:szCs w:val="22"/>
              </w:rPr>
              <w:t xml:space="preserve">2) mając na uwadze fakt, że część ustaw zmienianych przedmiotowym projektem wskazując cel udostępniania danych określa go pośrednio przez odesłanie do zadań </w:t>
            </w:r>
            <w:r w:rsidRPr="00914295">
              <w:rPr>
                <w:rFonts w:asciiTheme="minorHAnsi" w:hAnsiTheme="minorHAnsi" w:cstheme="minorHAnsi"/>
                <w:sz w:val="22"/>
                <w:szCs w:val="22"/>
              </w:rPr>
              <w:t>i obowiązków Dyrektora Instytutu</w:t>
            </w:r>
            <w:r w:rsidR="006B2CB0">
              <w:rPr>
                <w:rFonts w:asciiTheme="minorHAnsi" w:hAnsiTheme="minorHAnsi" w:cstheme="minorHAnsi"/>
                <w:sz w:val="22"/>
                <w:szCs w:val="22"/>
              </w:rPr>
              <w:t xml:space="preserve"> określonych w dodawanym w art. 10 ust. 1 pkt </w:t>
            </w:r>
            <w:r>
              <w:rPr>
                <w:rFonts w:asciiTheme="minorHAnsi" w:hAnsiTheme="minorHAnsi" w:cstheme="minorHAnsi"/>
                <w:sz w:val="22"/>
                <w:szCs w:val="22"/>
              </w:rPr>
              <w:t xml:space="preserve"> </w:t>
            </w:r>
            <w:r w:rsidR="006B2CB0">
              <w:rPr>
                <w:rFonts w:asciiTheme="minorHAnsi" w:hAnsiTheme="minorHAnsi" w:cstheme="minorHAnsi"/>
                <w:sz w:val="22"/>
                <w:szCs w:val="22"/>
              </w:rPr>
              <w:t>9a (</w:t>
            </w:r>
            <w:r>
              <w:rPr>
                <w:rFonts w:asciiTheme="minorHAnsi" w:hAnsiTheme="minorHAnsi" w:cstheme="minorHAnsi"/>
                <w:sz w:val="22"/>
                <w:szCs w:val="22"/>
              </w:rPr>
              <w:t xml:space="preserve">sporządzanie rocznego planu wykonywania </w:t>
            </w:r>
            <w:r w:rsidR="006B2CB0">
              <w:rPr>
                <w:rFonts w:asciiTheme="minorHAnsi" w:hAnsiTheme="minorHAnsi" w:cstheme="minorHAnsi"/>
                <w:sz w:val="22"/>
                <w:szCs w:val="22"/>
              </w:rPr>
              <w:t>przez</w:t>
            </w:r>
            <w:r>
              <w:rPr>
                <w:rFonts w:asciiTheme="minorHAnsi" w:hAnsiTheme="minorHAnsi" w:cstheme="minorHAnsi"/>
                <w:sz w:val="22"/>
                <w:szCs w:val="22"/>
              </w:rPr>
              <w:t xml:space="preserve"> Instytut </w:t>
            </w:r>
            <w:r w:rsidRPr="00585FF1">
              <w:rPr>
                <w:rFonts w:asciiTheme="minorHAnsi" w:hAnsiTheme="minorHAnsi" w:cstheme="minorHAnsi"/>
                <w:sz w:val="22"/>
                <w:szCs w:val="22"/>
                <w:u w:val="single"/>
              </w:rPr>
              <w:t>analiz polityk publicznych</w:t>
            </w:r>
            <w:r w:rsidR="006B2CB0">
              <w:rPr>
                <w:rFonts w:asciiTheme="minorHAnsi" w:hAnsiTheme="minorHAnsi" w:cstheme="minorHAnsi"/>
                <w:sz w:val="22"/>
                <w:szCs w:val="22"/>
              </w:rPr>
              <w:t xml:space="preserve">), proponuje się wyodrębnienie wprost w art. 3 zadania w zakresie sporządzania analiz tych polityk; zwrócić przy tym należy uwagę na dodawany przepis art. 3a ust. 1, zgodnie z którym zintegrowana platforma analityczna służy do </w:t>
            </w:r>
            <w:r w:rsidR="006B2CB0" w:rsidRPr="00585FF1">
              <w:rPr>
                <w:rFonts w:asciiTheme="minorHAnsi" w:hAnsiTheme="minorHAnsi" w:cstheme="minorHAnsi"/>
                <w:sz w:val="22"/>
                <w:szCs w:val="22"/>
                <w:u w:val="single"/>
              </w:rPr>
              <w:t xml:space="preserve">prowadzenia analiz </w:t>
            </w:r>
            <w:r w:rsidR="006B2CB0" w:rsidRPr="00585FF1">
              <w:rPr>
                <w:rFonts w:asciiTheme="minorHAnsi" w:hAnsiTheme="minorHAnsi" w:cstheme="minorHAnsi"/>
                <w:b/>
                <w:sz w:val="22"/>
                <w:szCs w:val="22"/>
                <w:u w:val="single"/>
              </w:rPr>
              <w:t>wspomagających tworzenie</w:t>
            </w:r>
            <w:r w:rsidR="006B2CB0" w:rsidRPr="00585FF1">
              <w:rPr>
                <w:rFonts w:asciiTheme="minorHAnsi" w:hAnsiTheme="minorHAnsi" w:cstheme="minorHAnsi"/>
                <w:sz w:val="22"/>
                <w:szCs w:val="22"/>
                <w:u w:val="single"/>
              </w:rPr>
              <w:t xml:space="preserve"> polityk publicznych</w:t>
            </w:r>
            <w:r w:rsidR="006B2CB0">
              <w:rPr>
                <w:rFonts w:asciiTheme="minorHAnsi" w:hAnsiTheme="minorHAnsi" w:cstheme="minorHAnsi"/>
                <w:sz w:val="22"/>
                <w:szCs w:val="22"/>
              </w:rPr>
              <w:t xml:space="preserve"> </w:t>
            </w:r>
            <w:r w:rsidR="00585FF1" w:rsidRPr="00585FF1">
              <w:rPr>
                <w:rFonts w:asciiTheme="minorHAnsi" w:hAnsiTheme="minorHAnsi" w:cstheme="minorHAnsi"/>
                <w:sz w:val="22"/>
                <w:szCs w:val="22"/>
              </w:rPr>
              <w:t>z wykorzystaniem danych gromadzonych w rejestrach publicznych i systemach teleinformatycznych</w:t>
            </w:r>
            <w:r w:rsidR="00585FF1">
              <w:rPr>
                <w:rFonts w:asciiTheme="minorHAnsi" w:hAnsiTheme="minorHAnsi" w:cstheme="minorHAnsi"/>
                <w:sz w:val="22"/>
                <w:szCs w:val="22"/>
              </w:rPr>
              <w:t xml:space="preserve">, przy czym zauważenia także wymaga, że kwestie przygotowywania polityk publicznych reguluje ww. ustawa </w:t>
            </w:r>
            <w:r w:rsidR="00327979">
              <w:rPr>
                <w:rFonts w:asciiTheme="minorHAnsi" w:hAnsiTheme="minorHAnsi" w:cstheme="minorHAnsi"/>
                <w:sz w:val="22"/>
                <w:szCs w:val="22"/>
              </w:rPr>
              <w:t xml:space="preserve">z dnia 6 grudnia 2006 r. </w:t>
            </w:r>
            <w:r w:rsidR="00585FF1">
              <w:rPr>
                <w:rFonts w:asciiTheme="minorHAnsi" w:hAnsiTheme="minorHAnsi" w:cstheme="minorHAnsi"/>
                <w:sz w:val="22"/>
                <w:szCs w:val="22"/>
              </w:rPr>
              <w:t>o zasadach prowadzenia polityki rozwoju (</w:t>
            </w:r>
            <w:r w:rsidR="0080799F">
              <w:rPr>
                <w:rFonts w:asciiTheme="minorHAnsi" w:hAnsiTheme="minorHAnsi" w:cstheme="minorHAnsi"/>
                <w:sz w:val="22"/>
                <w:szCs w:val="22"/>
              </w:rPr>
              <w:t xml:space="preserve">konsultacje, </w:t>
            </w:r>
            <w:r w:rsidR="005E200A" w:rsidRPr="005E200A">
              <w:rPr>
                <w:rFonts w:asciiTheme="minorHAnsi" w:hAnsiTheme="minorHAnsi" w:cstheme="minorHAnsi"/>
                <w:sz w:val="22"/>
                <w:szCs w:val="22"/>
              </w:rPr>
              <w:t>przygotow</w:t>
            </w:r>
            <w:r w:rsidR="005E200A">
              <w:rPr>
                <w:rFonts w:asciiTheme="minorHAnsi" w:hAnsiTheme="minorHAnsi" w:cstheme="minorHAnsi"/>
                <w:sz w:val="22"/>
                <w:szCs w:val="22"/>
              </w:rPr>
              <w:t>anie</w:t>
            </w:r>
            <w:r w:rsidR="005E200A" w:rsidRPr="005E200A">
              <w:rPr>
                <w:rFonts w:asciiTheme="minorHAnsi" w:hAnsiTheme="minorHAnsi" w:cstheme="minorHAnsi"/>
                <w:sz w:val="22"/>
                <w:szCs w:val="22"/>
              </w:rPr>
              <w:t xml:space="preserve"> diagnoz</w:t>
            </w:r>
            <w:r w:rsidR="005E200A">
              <w:rPr>
                <w:rFonts w:asciiTheme="minorHAnsi" w:hAnsiTheme="minorHAnsi" w:cstheme="minorHAnsi"/>
                <w:sz w:val="22"/>
                <w:szCs w:val="22"/>
              </w:rPr>
              <w:t>y</w:t>
            </w:r>
            <w:r w:rsidR="005E200A" w:rsidRPr="005E200A">
              <w:rPr>
                <w:rFonts w:asciiTheme="minorHAnsi" w:hAnsiTheme="minorHAnsi" w:cstheme="minorHAnsi"/>
                <w:sz w:val="22"/>
                <w:szCs w:val="22"/>
              </w:rPr>
              <w:t xml:space="preserve"> sytuacji społecznej, gospodarczej i przestrzennej, z uwzględnieniem obszarów funkcjonalnych, w tym miejskich obszarów funkcjonalnych</w:t>
            </w:r>
            <w:r w:rsidR="005E200A">
              <w:rPr>
                <w:rFonts w:asciiTheme="minorHAnsi" w:hAnsiTheme="minorHAnsi" w:cstheme="minorHAnsi"/>
                <w:sz w:val="22"/>
                <w:szCs w:val="22"/>
              </w:rPr>
              <w:t xml:space="preserve">). Obszernego wyjaśnienia, jeżeli nie </w:t>
            </w:r>
            <w:r w:rsidR="00FD1749">
              <w:rPr>
                <w:rFonts w:asciiTheme="minorHAnsi" w:hAnsiTheme="minorHAnsi" w:cstheme="minorHAnsi"/>
                <w:sz w:val="22"/>
                <w:szCs w:val="22"/>
              </w:rPr>
              <w:t xml:space="preserve">rozważenia </w:t>
            </w:r>
            <w:r w:rsidR="005E200A">
              <w:rPr>
                <w:rFonts w:asciiTheme="minorHAnsi" w:hAnsiTheme="minorHAnsi" w:cstheme="minorHAnsi"/>
                <w:sz w:val="22"/>
                <w:szCs w:val="22"/>
              </w:rPr>
              <w:t>zmiany przedmiotowego projektu, wymaga więc wzajemna relacja tych dwóch regulacji, szczególnie w kontekście przygotowywania projektów polityk publicznych;</w:t>
            </w:r>
          </w:p>
          <w:p w:rsidR="006B2CB0" w:rsidRDefault="006B2CB0" w:rsidP="001E10EF">
            <w:pPr>
              <w:jc w:val="both"/>
              <w:rPr>
                <w:rFonts w:asciiTheme="minorHAnsi" w:hAnsiTheme="minorHAnsi" w:cstheme="minorHAnsi"/>
                <w:sz w:val="22"/>
                <w:szCs w:val="22"/>
              </w:rPr>
            </w:pPr>
            <w:r>
              <w:rPr>
                <w:rFonts w:asciiTheme="minorHAnsi" w:hAnsiTheme="minorHAnsi" w:cstheme="minorHAnsi"/>
                <w:sz w:val="22"/>
                <w:szCs w:val="22"/>
              </w:rPr>
              <w:t>3) dodatkowego wyjaśnienia wymaga pojęcie „zintegrowanej platformy analitycznej”, definiowanej jako rozwiązanie organizacyjno</w:t>
            </w:r>
            <w:r w:rsidR="00965CC7">
              <w:rPr>
                <w:rFonts w:asciiTheme="minorHAnsi" w:hAnsiTheme="minorHAnsi" w:cstheme="minorHAnsi"/>
                <w:sz w:val="22"/>
                <w:szCs w:val="22"/>
              </w:rPr>
              <w:t>-</w:t>
            </w:r>
            <w:r>
              <w:rPr>
                <w:rFonts w:asciiTheme="minorHAnsi" w:hAnsiTheme="minorHAnsi" w:cstheme="minorHAnsi"/>
                <w:sz w:val="22"/>
                <w:szCs w:val="22"/>
              </w:rPr>
              <w:t>techniczne</w:t>
            </w:r>
            <w:r w:rsidR="00FD1749">
              <w:rPr>
                <w:rFonts w:asciiTheme="minorHAnsi" w:hAnsiTheme="minorHAnsi" w:cstheme="minorHAnsi"/>
                <w:sz w:val="22"/>
                <w:szCs w:val="22"/>
              </w:rPr>
              <w:t xml:space="preserve"> służące do prowadzenia analiz z wykorzystaniem danych. Z dalszych uregulowań (np. projektowany art. 3a ust. 3) wynika bowiem, że platforma jest systemem teleinformatycznym służącym do przetwarzania pozyskanych danych</w:t>
            </w:r>
            <w:r w:rsidR="002B6F33">
              <w:rPr>
                <w:rFonts w:asciiTheme="minorHAnsi" w:hAnsiTheme="minorHAnsi" w:cstheme="minorHAnsi"/>
                <w:sz w:val="22"/>
                <w:szCs w:val="22"/>
              </w:rPr>
              <w:t xml:space="preserve"> (zgodnie z uzasadnienie</w:t>
            </w:r>
            <w:r w:rsidR="00B32D04">
              <w:rPr>
                <w:rFonts w:asciiTheme="minorHAnsi" w:hAnsiTheme="minorHAnsi" w:cstheme="minorHAnsi"/>
                <w:sz w:val="22"/>
                <w:szCs w:val="22"/>
              </w:rPr>
              <w:t>m</w:t>
            </w:r>
            <w:r w:rsidR="002B6F33">
              <w:rPr>
                <w:rFonts w:asciiTheme="minorHAnsi" w:hAnsiTheme="minorHAnsi" w:cstheme="minorHAnsi"/>
                <w:sz w:val="22"/>
                <w:szCs w:val="22"/>
              </w:rPr>
              <w:t xml:space="preserve"> projektu</w:t>
            </w:r>
            <w:r w:rsidR="00B32D04">
              <w:t xml:space="preserve"> „</w:t>
            </w:r>
            <w:r w:rsidR="00B32D04" w:rsidRPr="00B32D04">
              <w:rPr>
                <w:rFonts w:asciiTheme="minorHAnsi" w:hAnsiTheme="minorHAnsi" w:cstheme="minorHAnsi"/>
                <w:sz w:val="22"/>
                <w:szCs w:val="22"/>
              </w:rPr>
              <w:t>Platforma ZPA jest centralnym narzędziem analitycznym pozyskującym niezbędne dane będące w dyspozycji jednostek administracji publicznej</w:t>
            </w:r>
            <w:r w:rsidR="00B32D04">
              <w:rPr>
                <w:rFonts w:asciiTheme="minorHAnsi" w:hAnsiTheme="minorHAnsi" w:cstheme="minorHAnsi"/>
                <w:sz w:val="22"/>
                <w:szCs w:val="22"/>
              </w:rPr>
              <w:t>”)</w:t>
            </w:r>
            <w:r w:rsidR="00FD1749">
              <w:rPr>
                <w:rFonts w:asciiTheme="minorHAnsi" w:hAnsiTheme="minorHAnsi" w:cstheme="minorHAnsi"/>
                <w:sz w:val="22"/>
                <w:szCs w:val="22"/>
              </w:rPr>
              <w:t>;</w:t>
            </w:r>
          </w:p>
          <w:p w:rsidR="00FD1749" w:rsidRDefault="008317E3" w:rsidP="001E10EF">
            <w:pPr>
              <w:jc w:val="both"/>
              <w:rPr>
                <w:rFonts w:asciiTheme="minorHAnsi" w:hAnsiTheme="minorHAnsi" w:cstheme="minorHAnsi"/>
                <w:sz w:val="22"/>
                <w:szCs w:val="22"/>
              </w:rPr>
            </w:pPr>
            <w:r>
              <w:rPr>
                <w:rFonts w:asciiTheme="minorHAnsi" w:hAnsiTheme="minorHAnsi" w:cstheme="minorHAnsi"/>
                <w:sz w:val="22"/>
                <w:szCs w:val="22"/>
              </w:rPr>
              <w:t xml:space="preserve">4) </w:t>
            </w:r>
            <w:r w:rsidR="00965CC7">
              <w:rPr>
                <w:rFonts w:asciiTheme="minorHAnsi" w:hAnsiTheme="minorHAnsi" w:cstheme="minorHAnsi"/>
                <w:sz w:val="22"/>
                <w:szCs w:val="22"/>
              </w:rPr>
              <w:t>sprecyzować</w:t>
            </w:r>
            <w:r w:rsidR="006D3368">
              <w:rPr>
                <w:rFonts w:asciiTheme="minorHAnsi" w:hAnsiTheme="minorHAnsi" w:cstheme="minorHAnsi"/>
                <w:sz w:val="22"/>
                <w:szCs w:val="22"/>
              </w:rPr>
              <w:t xml:space="preserve"> należy </w:t>
            </w:r>
            <w:r w:rsidR="00965CC7">
              <w:rPr>
                <w:rFonts w:asciiTheme="minorHAnsi" w:hAnsiTheme="minorHAnsi" w:cstheme="minorHAnsi"/>
                <w:sz w:val="22"/>
                <w:szCs w:val="22"/>
              </w:rPr>
              <w:t>zadania Instytutu „dotyczące funkcjonowania rozwiązania organizacyjno-technicznego” (</w:t>
            </w:r>
            <w:r w:rsidR="006D3368">
              <w:rPr>
                <w:rFonts w:asciiTheme="minorHAnsi" w:hAnsiTheme="minorHAnsi" w:cstheme="minorHAnsi"/>
                <w:sz w:val="22"/>
                <w:szCs w:val="22"/>
              </w:rPr>
              <w:t>w art. 3a ust. 1</w:t>
            </w:r>
            <w:r w:rsidR="00965CC7">
              <w:rPr>
                <w:rFonts w:asciiTheme="minorHAnsi" w:hAnsiTheme="minorHAnsi" w:cstheme="minorHAnsi"/>
                <w:sz w:val="22"/>
                <w:szCs w:val="22"/>
              </w:rPr>
              <w:t xml:space="preserve"> projektu);</w:t>
            </w:r>
          </w:p>
          <w:p w:rsidR="00965CC7" w:rsidRDefault="00965CC7" w:rsidP="001E10EF">
            <w:pPr>
              <w:jc w:val="both"/>
              <w:rPr>
                <w:rFonts w:asciiTheme="minorHAnsi" w:hAnsiTheme="minorHAnsi" w:cstheme="minorHAnsi"/>
                <w:sz w:val="22"/>
                <w:szCs w:val="22"/>
              </w:rPr>
            </w:pPr>
            <w:r>
              <w:rPr>
                <w:rFonts w:asciiTheme="minorHAnsi" w:hAnsiTheme="minorHAnsi" w:cstheme="minorHAnsi"/>
                <w:sz w:val="22"/>
                <w:szCs w:val="22"/>
              </w:rPr>
              <w:lastRenderedPageBreak/>
              <w:t xml:space="preserve">5) </w:t>
            </w:r>
            <w:r w:rsidR="00923AE1">
              <w:rPr>
                <w:rFonts w:asciiTheme="minorHAnsi" w:hAnsiTheme="minorHAnsi" w:cstheme="minorHAnsi"/>
                <w:sz w:val="22"/>
                <w:szCs w:val="22"/>
              </w:rPr>
              <w:t xml:space="preserve">mając na uwadze </w:t>
            </w:r>
            <w:r w:rsidR="004C506A">
              <w:rPr>
                <w:rFonts w:asciiTheme="minorHAnsi" w:hAnsiTheme="minorHAnsi" w:cstheme="minorHAnsi"/>
                <w:sz w:val="22"/>
                <w:szCs w:val="22"/>
              </w:rPr>
              <w:t>projektowany</w:t>
            </w:r>
            <w:r w:rsidR="00923AE1">
              <w:rPr>
                <w:rFonts w:asciiTheme="minorHAnsi" w:hAnsiTheme="minorHAnsi" w:cstheme="minorHAnsi"/>
                <w:sz w:val="22"/>
                <w:szCs w:val="22"/>
              </w:rPr>
              <w:t xml:space="preserve"> organ Instytutu – Radę Polityk Publicznych, </w:t>
            </w:r>
            <w:r w:rsidR="00172BED">
              <w:rPr>
                <w:rFonts w:asciiTheme="minorHAnsi" w:hAnsiTheme="minorHAnsi" w:cstheme="minorHAnsi"/>
                <w:sz w:val="22"/>
                <w:szCs w:val="22"/>
              </w:rPr>
              <w:t>ponownego</w:t>
            </w:r>
            <w:r w:rsidR="004C506A">
              <w:rPr>
                <w:rFonts w:asciiTheme="minorHAnsi" w:hAnsiTheme="minorHAnsi" w:cstheme="minorHAnsi"/>
                <w:sz w:val="22"/>
                <w:szCs w:val="22"/>
              </w:rPr>
              <w:t xml:space="preserve"> wyjaśnienia wymaga wzajemna relacja przepisów ustawy </w:t>
            </w:r>
            <w:r w:rsidR="00327979" w:rsidRPr="00327979">
              <w:rPr>
                <w:rFonts w:asciiTheme="minorHAnsi" w:hAnsiTheme="minorHAnsi" w:cstheme="minorHAnsi"/>
                <w:sz w:val="22"/>
                <w:szCs w:val="22"/>
              </w:rPr>
              <w:t>z dnia 20 lipca 2018</w:t>
            </w:r>
            <w:r w:rsidR="00327979">
              <w:rPr>
                <w:rFonts w:asciiTheme="minorHAnsi" w:hAnsiTheme="minorHAnsi" w:cstheme="minorHAnsi"/>
                <w:sz w:val="22"/>
                <w:szCs w:val="22"/>
              </w:rPr>
              <w:t xml:space="preserve"> r.</w:t>
            </w:r>
            <w:r w:rsidR="00327979" w:rsidRPr="00327979">
              <w:rPr>
                <w:rFonts w:asciiTheme="minorHAnsi" w:hAnsiTheme="minorHAnsi" w:cstheme="minorHAnsi"/>
                <w:sz w:val="22"/>
                <w:szCs w:val="22"/>
              </w:rPr>
              <w:t xml:space="preserve"> </w:t>
            </w:r>
            <w:r w:rsidR="004C506A">
              <w:rPr>
                <w:rFonts w:asciiTheme="minorHAnsi" w:hAnsiTheme="minorHAnsi" w:cstheme="minorHAnsi"/>
                <w:sz w:val="22"/>
                <w:szCs w:val="22"/>
              </w:rPr>
              <w:t xml:space="preserve">o Polskim Instytucie Ekonomicznym i ustawy </w:t>
            </w:r>
            <w:r w:rsidR="00327979" w:rsidRPr="00327979">
              <w:rPr>
                <w:rFonts w:asciiTheme="minorHAnsi" w:hAnsiTheme="minorHAnsi" w:cstheme="minorHAnsi"/>
                <w:sz w:val="22"/>
                <w:szCs w:val="22"/>
              </w:rPr>
              <w:t xml:space="preserve">z dnia 6 grudnia 2006 r. </w:t>
            </w:r>
            <w:r w:rsidR="004C506A" w:rsidRPr="004C506A">
              <w:rPr>
                <w:rFonts w:asciiTheme="minorHAnsi" w:hAnsiTheme="minorHAnsi" w:cstheme="minorHAnsi"/>
                <w:sz w:val="22"/>
                <w:szCs w:val="22"/>
              </w:rPr>
              <w:t>o zasadach prowadzenia polityki rozwoju</w:t>
            </w:r>
            <w:r w:rsidR="004C506A">
              <w:rPr>
                <w:rFonts w:asciiTheme="minorHAnsi" w:hAnsiTheme="minorHAnsi" w:cstheme="minorHAnsi"/>
                <w:sz w:val="22"/>
                <w:szCs w:val="22"/>
              </w:rPr>
              <w:t>;</w:t>
            </w:r>
          </w:p>
          <w:p w:rsidR="004C506A" w:rsidRDefault="00C55297" w:rsidP="001E10EF">
            <w:pPr>
              <w:jc w:val="both"/>
              <w:rPr>
                <w:rFonts w:asciiTheme="minorHAnsi" w:hAnsiTheme="minorHAnsi" w:cstheme="minorHAnsi"/>
                <w:sz w:val="22"/>
                <w:szCs w:val="22"/>
              </w:rPr>
            </w:pPr>
            <w:r>
              <w:rPr>
                <w:rFonts w:asciiTheme="minorHAnsi" w:hAnsiTheme="minorHAnsi" w:cstheme="minorHAnsi"/>
                <w:sz w:val="22"/>
                <w:szCs w:val="22"/>
              </w:rPr>
              <w:t xml:space="preserve">6) zgodnie z </w:t>
            </w:r>
            <w:r w:rsidR="000A00C1">
              <w:rPr>
                <w:rFonts w:asciiTheme="minorHAnsi" w:hAnsiTheme="minorHAnsi" w:cstheme="minorHAnsi"/>
                <w:sz w:val="22"/>
                <w:szCs w:val="22"/>
              </w:rPr>
              <w:t xml:space="preserve">dodawanym przepisem art. 15b ust. 2 Rada Główna Nauki i Szkolnictwa Wyższego wskazuje swoich przedstawicieli oraz przedstawicieli organizacji pozarządowych po przeprowadzeniu konkursu. </w:t>
            </w:r>
            <w:r w:rsidR="00DA2CB0">
              <w:rPr>
                <w:rFonts w:asciiTheme="minorHAnsi" w:hAnsiTheme="minorHAnsi" w:cstheme="minorHAnsi"/>
                <w:sz w:val="22"/>
                <w:szCs w:val="22"/>
              </w:rPr>
              <w:t>Projekt</w:t>
            </w:r>
            <w:r w:rsidR="000A00C1">
              <w:rPr>
                <w:rFonts w:asciiTheme="minorHAnsi" w:hAnsiTheme="minorHAnsi" w:cstheme="minorHAnsi"/>
                <w:sz w:val="22"/>
                <w:szCs w:val="22"/>
              </w:rPr>
              <w:t xml:space="preserve"> ustawy nie zawiera jednak żadnych regulacji dotyczących procedury konkursowej i trybu przeprowadzania tego konkursu (w ust. 3 reguluje się jedynie </w:t>
            </w:r>
            <w:r w:rsidR="00DA2CB0">
              <w:rPr>
                <w:rFonts w:asciiTheme="minorHAnsi" w:hAnsiTheme="minorHAnsi" w:cstheme="minorHAnsi"/>
                <w:sz w:val="22"/>
                <w:szCs w:val="22"/>
              </w:rPr>
              <w:t xml:space="preserve">szczątkowo </w:t>
            </w:r>
            <w:r w:rsidR="000A00C1">
              <w:rPr>
                <w:rFonts w:asciiTheme="minorHAnsi" w:hAnsiTheme="minorHAnsi" w:cstheme="minorHAnsi"/>
                <w:sz w:val="22"/>
                <w:szCs w:val="22"/>
              </w:rPr>
              <w:t>zgłoszenia do konkursu kandydatów na przedstawicieli organizacji pozarządowych);</w:t>
            </w:r>
          </w:p>
          <w:p w:rsidR="000A00C1" w:rsidRDefault="000A00C1" w:rsidP="001E10EF">
            <w:pPr>
              <w:jc w:val="both"/>
              <w:rPr>
                <w:rFonts w:asciiTheme="minorHAnsi" w:hAnsiTheme="minorHAnsi" w:cstheme="minorHAnsi"/>
                <w:sz w:val="22"/>
                <w:szCs w:val="22"/>
              </w:rPr>
            </w:pPr>
            <w:r>
              <w:rPr>
                <w:rFonts w:asciiTheme="minorHAnsi" w:hAnsiTheme="minorHAnsi" w:cstheme="minorHAnsi"/>
                <w:sz w:val="22"/>
                <w:szCs w:val="22"/>
              </w:rPr>
              <w:t xml:space="preserve">7) </w:t>
            </w:r>
            <w:r w:rsidR="00296ED4">
              <w:rPr>
                <w:rFonts w:asciiTheme="minorHAnsi" w:hAnsiTheme="minorHAnsi" w:cstheme="minorHAnsi"/>
                <w:sz w:val="22"/>
                <w:szCs w:val="22"/>
              </w:rPr>
              <w:t xml:space="preserve">mając na uwadze, że </w:t>
            </w:r>
            <w:r w:rsidR="006A6B86">
              <w:rPr>
                <w:rFonts w:asciiTheme="minorHAnsi" w:hAnsiTheme="minorHAnsi" w:cstheme="minorHAnsi"/>
                <w:sz w:val="22"/>
                <w:szCs w:val="22"/>
              </w:rPr>
              <w:t xml:space="preserve">osoby uczestniczące w posiedzeniach Rady Polityk Publicznych na podstawie art. 15b ust. 19 są </w:t>
            </w:r>
            <w:r w:rsidR="006A6B86" w:rsidRPr="006A6B86">
              <w:rPr>
                <w:rFonts w:asciiTheme="minorHAnsi" w:hAnsiTheme="minorHAnsi" w:cstheme="minorHAnsi"/>
                <w:sz w:val="22"/>
                <w:szCs w:val="22"/>
                <w:u w:val="single"/>
              </w:rPr>
              <w:t>obserwatorami</w:t>
            </w:r>
            <w:r w:rsidR="006A6B86">
              <w:rPr>
                <w:rFonts w:asciiTheme="minorHAnsi" w:hAnsiTheme="minorHAnsi" w:cstheme="minorHAnsi"/>
                <w:sz w:val="22"/>
                <w:szCs w:val="22"/>
                <w:u w:val="single"/>
              </w:rPr>
              <w:t xml:space="preserve">, </w:t>
            </w:r>
            <w:r w:rsidR="006A6B86" w:rsidRPr="006A6B86">
              <w:rPr>
                <w:rFonts w:asciiTheme="minorHAnsi" w:hAnsiTheme="minorHAnsi" w:cstheme="minorHAnsi"/>
                <w:sz w:val="22"/>
                <w:szCs w:val="22"/>
              </w:rPr>
              <w:t>wyjaśnienia wymaga</w:t>
            </w:r>
            <w:r w:rsidR="006A6B86">
              <w:rPr>
                <w:rFonts w:asciiTheme="minorHAnsi" w:hAnsiTheme="minorHAnsi" w:cstheme="minorHAnsi"/>
                <w:sz w:val="22"/>
                <w:szCs w:val="22"/>
                <w:u w:val="single"/>
              </w:rPr>
              <w:t xml:space="preserve"> </w:t>
            </w:r>
            <w:r w:rsidR="006A6B86" w:rsidRPr="006A6B86">
              <w:rPr>
                <w:rFonts w:asciiTheme="minorHAnsi" w:hAnsiTheme="minorHAnsi" w:cstheme="minorHAnsi"/>
                <w:sz w:val="22"/>
                <w:szCs w:val="22"/>
              </w:rPr>
              <w:t>w jaki sposób do</w:t>
            </w:r>
            <w:r w:rsidR="006A6B86">
              <w:rPr>
                <w:rFonts w:asciiTheme="minorHAnsi" w:hAnsiTheme="minorHAnsi" w:cstheme="minorHAnsi"/>
                <w:sz w:val="22"/>
                <w:szCs w:val="22"/>
                <w:u w:val="single"/>
              </w:rPr>
              <w:t xml:space="preserve"> </w:t>
            </w:r>
            <w:r w:rsidR="006A6B86" w:rsidRPr="006A6B86">
              <w:rPr>
                <w:rFonts w:asciiTheme="minorHAnsi" w:hAnsiTheme="minorHAnsi" w:cstheme="minorHAnsi"/>
                <w:sz w:val="22"/>
                <w:szCs w:val="22"/>
              </w:rPr>
              <w:t>tych osób stosuje się odpowiednio przepisy dotyczące podejmowania uchwał</w:t>
            </w:r>
            <w:r w:rsidR="006A6B86">
              <w:rPr>
                <w:rFonts w:asciiTheme="minorHAnsi" w:hAnsiTheme="minorHAnsi" w:cstheme="minorHAnsi"/>
                <w:sz w:val="22"/>
                <w:szCs w:val="22"/>
              </w:rPr>
              <w:t xml:space="preserve"> (ust. 15). Dodatkowo wskazać należy na brak regulacji trybu powoływania obserwatorów, </w:t>
            </w:r>
            <w:proofErr w:type="gramStart"/>
            <w:r w:rsidR="006A6B86">
              <w:rPr>
                <w:rFonts w:asciiTheme="minorHAnsi" w:hAnsiTheme="minorHAnsi" w:cstheme="minorHAnsi"/>
                <w:sz w:val="22"/>
                <w:szCs w:val="22"/>
              </w:rPr>
              <w:t>określenia</w:t>
            </w:r>
            <w:proofErr w:type="gramEnd"/>
            <w:r w:rsidR="006A6B86">
              <w:rPr>
                <w:rFonts w:asciiTheme="minorHAnsi" w:hAnsiTheme="minorHAnsi" w:cstheme="minorHAnsi"/>
                <w:sz w:val="22"/>
                <w:szCs w:val="22"/>
              </w:rPr>
              <w:t xml:space="preserve"> </w:t>
            </w:r>
            <w:r w:rsidR="00BB58ED">
              <w:rPr>
                <w:rFonts w:asciiTheme="minorHAnsi" w:hAnsiTheme="minorHAnsi" w:cstheme="minorHAnsi"/>
                <w:sz w:val="22"/>
                <w:szCs w:val="22"/>
              </w:rPr>
              <w:t>które</w:t>
            </w:r>
            <w:r w:rsidR="006A6B86">
              <w:rPr>
                <w:rFonts w:asciiTheme="minorHAnsi" w:hAnsiTheme="minorHAnsi" w:cstheme="minorHAnsi"/>
                <w:sz w:val="22"/>
                <w:szCs w:val="22"/>
              </w:rPr>
              <w:t xml:space="preserve"> „podmioty zewnętrzne” i ile tych podmiotów może takimi obserwatorami zostać, a także ilu obserwatorów może uczestniczyć w posiedzeniach Rady (w ust. 19 jest mowa o obserwatorach – podmiotach zewnętrznych</w:t>
            </w:r>
            <w:r w:rsidR="00BB58ED">
              <w:rPr>
                <w:rFonts w:asciiTheme="minorHAnsi" w:hAnsiTheme="minorHAnsi" w:cstheme="minorHAnsi"/>
                <w:sz w:val="22"/>
                <w:szCs w:val="22"/>
              </w:rPr>
              <w:t>,</w:t>
            </w:r>
            <w:r w:rsidR="006A6B86">
              <w:rPr>
                <w:rFonts w:asciiTheme="minorHAnsi" w:hAnsiTheme="minorHAnsi" w:cstheme="minorHAnsi"/>
                <w:sz w:val="22"/>
                <w:szCs w:val="22"/>
              </w:rPr>
              <w:t xml:space="preserve"> w tym przedstawiciel</w:t>
            </w:r>
            <w:r w:rsidR="00BB58ED">
              <w:rPr>
                <w:rFonts w:asciiTheme="minorHAnsi" w:hAnsiTheme="minorHAnsi" w:cstheme="minorHAnsi"/>
                <w:sz w:val="22"/>
                <w:szCs w:val="22"/>
              </w:rPr>
              <w:t>u</w:t>
            </w:r>
            <w:r w:rsidR="006A6B86">
              <w:rPr>
                <w:rFonts w:asciiTheme="minorHAnsi" w:hAnsiTheme="minorHAnsi" w:cstheme="minorHAnsi"/>
                <w:sz w:val="22"/>
                <w:szCs w:val="22"/>
              </w:rPr>
              <w:t xml:space="preserve"> UODO oraz RPO, a także o „pozostałych” obserwatorach powoływanych przez </w:t>
            </w:r>
            <w:r w:rsidR="00BB58ED">
              <w:rPr>
                <w:rFonts w:asciiTheme="minorHAnsi" w:hAnsiTheme="minorHAnsi" w:cstheme="minorHAnsi"/>
                <w:sz w:val="22"/>
                <w:szCs w:val="22"/>
              </w:rPr>
              <w:t>Przewodniczącego</w:t>
            </w:r>
            <w:r w:rsidR="006A6B86">
              <w:rPr>
                <w:rFonts w:asciiTheme="minorHAnsi" w:hAnsiTheme="minorHAnsi" w:cstheme="minorHAnsi"/>
                <w:sz w:val="22"/>
                <w:szCs w:val="22"/>
              </w:rPr>
              <w:t>)</w:t>
            </w:r>
            <w:r w:rsidR="007F4941">
              <w:rPr>
                <w:rFonts w:asciiTheme="minorHAnsi" w:hAnsiTheme="minorHAnsi" w:cstheme="minorHAnsi"/>
                <w:sz w:val="22"/>
                <w:szCs w:val="22"/>
              </w:rPr>
              <w:t>;</w:t>
            </w:r>
          </w:p>
          <w:p w:rsidR="00C012A7" w:rsidRDefault="007F4941" w:rsidP="001E10EF">
            <w:pPr>
              <w:jc w:val="both"/>
              <w:rPr>
                <w:rFonts w:asciiTheme="minorHAnsi" w:hAnsiTheme="minorHAnsi" w:cstheme="minorHAnsi"/>
                <w:sz w:val="22"/>
                <w:szCs w:val="22"/>
              </w:rPr>
            </w:pPr>
            <w:r>
              <w:rPr>
                <w:rFonts w:asciiTheme="minorHAnsi" w:hAnsiTheme="minorHAnsi" w:cstheme="minorHAnsi"/>
                <w:sz w:val="22"/>
                <w:szCs w:val="22"/>
              </w:rPr>
              <w:t xml:space="preserve">8) mając na uwadze, że zgodnie z art. 2 </w:t>
            </w:r>
            <w:r w:rsidR="00C012A7">
              <w:rPr>
                <w:rFonts w:asciiTheme="minorHAnsi" w:hAnsiTheme="minorHAnsi" w:cstheme="minorHAnsi"/>
                <w:sz w:val="22"/>
                <w:szCs w:val="22"/>
              </w:rPr>
              <w:t xml:space="preserve">ust. 3 </w:t>
            </w:r>
            <w:r>
              <w:rPr>
                <w:rFonts w:asciiTheme="minorHAnsi" w:hAnsiTheme="minorHAnsi" w:cstheme="minorHAnsi"/>
                <w:sz w:val="22"/>
                <w:szCs w:val="22"/>
              </w:rPr>
              <w:t xml:space="preserve">ustawy </w:t>
            </w:r>
            <w:r w:rsidR="00327979" w:rsidRPr="00327979">
              <w:rPr>
                <w:rFonts w:asciiTheme="minorHAnsi" w:hAnsiTheme="minorHAnsi" w:cstheme="minorHAnsi"/>
                <w:sz w:val="22"/>
                <w:szCs w:val="22"/>
              </w:rPr>
              <w:t xml:space="preserve">z dnia 20 lipca 2018 r. </w:t>
            </w:r>
            <w:r>
              <w:rPr>
                <w:rFonts w:asciiTheme="minorHAnsi" w:hAnsiTheme="minorHAnsi" w:cstheme="minorHAnsi"/>
                <w:sz w:val="22"/>
                <w:szCs w:val="22"/>
              </w:rPr>
              <w:t xml:space="preserve">o Polskim Instytucie Ekonomicznym </w:t>
            </w:r>
            <w:r w:rsidR="00C012A7" w:rsidRPr="00C012A7">
              <w:rPr>
                <w:rFonts w:asciiTheme="minorHAnsi" w:hAnsiTheme="minorHAnsi" w:cstheme="minorHAnsi"/>
                <w:sz w:val="22"/>
                <w:szCs w:val="22"/>
              </w:rPr>
              <w:t xml:space="preserve">Prezes Rady Ministrów, w drodze zarządzenia, nadaje Instytutowi statut, </w:t>
            </w:r>
            <w:r w:rsidR="00C012A7" w:rsidRPr="00C012A7">
              <w:rPr>
                <w:rFonts w:asciiTheme="minorHAnsi" w:hAnsiTheme="minorHAnsi" w:cstheme="minorHAnsi"/>
                <w:sz w:val="22"/>
                <w:szCs w:val="22"/>
                <w:u w:val="single"/>
              </w:rPr>
              <w:t>w którym określa organizację wewnętrzną oraz tryb pracy organów Instytutu</w:t>
            </w:r>
            <w:r w:rsidR="00C012A7" w:rsidRPr="00C012A7">
              <w:rPr>
                <w:rFonts w:asciiTheme="minorHAnsi" w:hAnsiTheme="minorHAnsi" w:cstheme="minorHAnsi"/>
                <w:sz w:val="22"/>
                <w:szCs w:val="22"/>
              </w:rPr>
              <w:t xml:space="preserve">, </w:t>
            </w:r>
            <w:r w:rsidR="00C012A7">
              <w:rPr>
                <w:rFonts w:asciiTheme="minorHAnsi" w:hAnsiTheme="minorHAnsi" w:cstheme="minorHAnsi"/>
                <w:sz w:val="22"/>
                <w:szCs w:val="22"/>
              </w:rPr>
              <w:t>z przedmiotowego projektu usunąć należy projektowany art. 15b ust. 23;</w:t>
            </w:r>
          </w:p>
          <w:p w:rsidR="00B92138" w:rsidRDefault="00B92138" w:rsidP="00B92138">
            <w:pPr>
              <w:jc w:val="both"/>
              <w:rPr>
                <w:rFonts w:asciiTheme="minorHAnsi" w:hAnsiTheme="minorHAnsi" w:cstheme="minorHAnsi"/>
                <w:sz w:val="22"/>
                <w:szCs w:val="22"/>
              </w:rPr>
            </w:pPr>
            <w:r>
              <w:rPr>
                <w:rFonts w:asciiTheme="minorHAnsi" w:hAnsiTheme="minorHAnsi" w:cstheme="minorHAnsi"/>
                <w:sz w:val="22"/>
                <w:szCs w:val="22"/>
              </w:rPr>
              <w:t xml:space="preserve">9) zgodnie z art. </w:t>
            </w:r>
            <w:r w:rsidR="00C012A7">
              <w:rPr>
                <w:rFonts w:asciiTheme="minorHAnsi" w:hAnsiTheme="minorHAnsi" w:cstheme="minorHAnsi"/>
                <w:sz w:val="22"/>
                <w:szCs w:val="22"/>
              </w:rPr>
              <w:t xml:space="preserve"> </w:t>
            </w:r>
            <w:r w:rsidRPr="00B92138">
              <w:rPr>
                <w:rFonts w:asciiTheme="minorHAnsi" w:hAnsiTheme="minorHAnsi" w:cstheme="minorHAnsi"/>
                <w:sz w:val="22"/>
                <w:szCs w:val="22"/>
              </w:rPr>
              <w:t xml:space="preserve">4 </w:t>
            </w:r>
            <w:r>
              <w:rPr>
                <w:rFonts w:asciiTheme="minorHAnsi" w:hAnsiTheme="minorHAnsi" w:cstheme="minorHAnsi"/>
                <w:sz w:val="22"/>
                <w:szCs w:val="22"/>
              </w:rPr>
              <w:t xml:space="preserve">ustawy </w:t>
            </w:r>
            <w:r w:rsidR="00327979" w:rsidRPr="00327979">
              <w:rPr>
                <w:rFonts w:asciiTheme="minorHAnsi" w:hAnsiTheme="minorHAnsi" w:cstheme="minorHAnsi"/>
                <w:sz w:val="22"/>
                <w:szCs w:val="22"/>
              </w:rPr>
              <w:t xml:space="preserve">z dnia 20 lipca 2018 r. </w:t>
            </w:r>
            <w:r w:rsidRPr="00B92138">
              <w:rPr>
                <w:rFonts w:asciiTheme="minorHAnsi" w:hAnsiTheme="minorHAnsi" w:cstheme="minorHAnsi"/>
                <w:sz w:val="22"/>
                <w:szCs w:val="22"/>
              </w:rPr>
              <w:t>o Polskim Instytucie Ekonomicznym</w:t>
            </w:r>
            <w:r>
              <w:rPr>
                <w:rFonts w:asciiTheme="minorHAnsi" w:hAnsiTheme="minorHAnsi" w:cstheme="minorHAnsi"/>
                <w:sz w:val="22"/>
                <w:szCs w:val="22"/>
              </w:rPr>
              <w:t xml:space="preserve"> n</w:t>
            </w:r>
            <w:r w:rsidRPr="00B92138">
              <w:rPr>
                <w:rFonts w:asciiTheme="minorHAnsi" w:hAnsiTheme="minorHAnsi" w:cstheme="minorHAnsi"/>
                <w:sz w:val="22"/>
                <w:szCs w:val="22"/>
              </w:rPr>
              <w:t>adzór nad Instytutem sprawuje Prezes Rady Ministrów</w:t>
            </w:r>
            <w:r>
              <w:rPr>
                <w:rFonts w:asciiTheme="minorHAnsi" w:hAnsiTheme="minorHAnsi" w:cstheme="minorHAnsi"/>
                <w:sz w:val="22"/>
                <w:szCs w:val="22"/>
              </w:rPr>
              <w:t>. O</w:t>
            </w:r>
            <w:r w:rsidRPr="00B92138">
              <w:rPr>
                <w:rFonts w:asciiTheme="minorHAnsi" w:hAnsiTheme="minorHAnsi" w:cstheme="minorHAnsi"/>
                <w:sz w:val="22"/>
                <w:szCs w:val="22"/>
              </w:rPr>
              <w:t>bejmuje</w:t>
            </w:r>
            <w:r>
              <w:rPr>
                <w:rFonts w:asciiTheme="minorHAnsi" w:hAnsiTheme="minorHAnsi" w:cstheme="minorHAnsi"/>
                <w:sz w:val="22"/>
                <w:szCs w:val="22"/>
              </w:rPr>
              <w:t xml:space="preserve"> on</w:t>
            </w:r>
            <w:r w:rsidRPr="00B92138">
              <w:rPr>
                <w:rFonts w:asciiTheme="minorHAnsi" w:hAnsiTheme="minorHAnsi" w:cstheme="minorHAnsi"/>
                <w:sz w:val="22"/>
                <w:szCs w:val="22"/>
              </w:rPr>
              <w:t xml:space="preserve"> nadzór </w:t>
            </w:r>
            <w:r>
              <w:rPr>
                <w:rFonts w:asciiTheme="minorHAnsi" w:hAnsiTheme="minorHAnsi" w:cstheme="minorHAnsi"/>
                <w:sz w:val="22"/>
                <w:szCs w:val="22"/>
              </w:rPr>
              <w:t xml:space="preserve">m.in. </w:t>
            </w:r>
            <w:r w:rsidRPr="00B92138">
              <w:rPr>
                <w:rFonts w:asciiTheme="minorHAnsi" w:hAnsiTheme="minorHAnsi" w:cstheme="minorHAnsi"/>
                <w:sz w:val="22"/>
                <w:szCs w:val="22"/>
              </w:rPr>
              <w:t>nad</w:t>
            </w:r>
            <w:r>
              <w:rPr>
                <w:rFonts w:asciiTheme="minorHAnsi" w:hAnsiTheme="minorHAnsi" w:cstheme="minorHAnsi"/>
                <w:sz w:val="22"/>
                <w:szCs w:val="22"/>
              </w:rPr>
              <w:t xml:space="preserve"> </w:t>
            </w:r>
            <w:r w:rsidRPr="00B92138">
              <w:rPr>
                <w:rFonts w:asciiTheme="minorHAnsi" w:hAnsiTheme="minorHAnsi" w:cstheme="minorHAnsi"/>
                <w:sz w:val="22"/>
                <w:szCs w:val="22"/>
              </w:rPr>
              <w:t>zgodnością działań Instytutu z przepisami prawa i statutem</w:t>
            </w:r>
            <w:r>
              <w:rPr>
                <w:rFonts w:asciiTheme="minorHAnsi" w:hAnsiTheme="minorHAnsi" w:cstheme="minorHAnsi"/>
                <w:sz w:val="22"/>
                <w:szCs w:val="22"/>
              </w:rPr>
              <w:t xml:space="preserve"> oraz </w:t>
            </w:r>
            <w:r w:rsidRPr="00B92138">
              <w:rPr>
                <w:rFonts w:asciiTheme="minorHAnsi" w:hAnsiTheme="minorHAnsi" w:cstheme="minorHAnsi"/>
                <w:sz w:val="22"/>
                <w:szCs w:val="22"/>
              </w:rPr>
              <w:t>realizacją przez Instytut zadań określonych w art. 3</w:t>
            </w:r>
            <w:r>
              <w:rPr>
                <w:rFonts w:asciiTheme="minorHAnsi" w:hAnsiTheme="minorHAnsi" w:cstheme="minorHAnsi"/>
                <w:sz w:val="22"/>
                <w:szCs w:val="22"/>
              </w:rPr>
              <w:t xml:space="preserve"> i art. 3a (odesłanie do art. 3a dodane przez przedmiotowy projekt). Wobec powyższego wyjaśnienia pod kątem wzajemnej relacji przepisów wymaga art. 4 i projektowany art. 15a ust. 1 pkt 3 – dotyczący nadzoru Rady nad funkcjonowaniem zintegrowanej platformy analitycznej;</w:t>
            </w:r>
          </w:p>
          <w:p w:rsidR="00B92138" w:rsidRDefault="00B92138" w:rsidP="00612AE7">
            <w:pPr>
              <w:jc w:val="both"/>
              <w:rPr>
                <w:rFonts w:asciiTheme="minorHAnsi" w:hAnsiTheme="minorHAnsi" w:cstheme="minorHAnsi"/>
                <w:sz w:val="22"/>
                <w:szCs w:val="22"/>
              </w:rPr>
            </w:pPr>
            <w:r>
              <w:rPr>
                <w:rFonts w:asciiTheme="minorHAnsi" w:hAnsiTheme="minorHAnsi" w:cstheme="minorHAnsi"/>
                <w:sz w:val="22"/>
                <w:szCs w:val="22"/>
              </w:rPr>
              <w:t xml:space="preserve">10) </w:t>
            </w:r>
            <w:r w:rsidR="00660317">
              <w:rPr>
                <w:rFonts w:asciiTheme="minorHAnsi" w:hAnsiTheme="minorHAnsi" w:cstheme="minorHAnsi"/>
                <w:sz w:val="22"/>
                <w:szCs w:val="22"/>
              </w:rPr>
              <w:t xml:space="preserve">w przypadku projektowanego art. </w:t>
            </w:r>
            <w:r w:rsidR="00612AE7">
              <w:rPr>
                <w:rFonts w:asciiTheme="minorHAnsi" w:hAnsiTheme="minorHAnsi" w:cstheme="minorHAnsi"/>
                <w:sz w:val="22"/>
                <w:szCs w:val="22"/>
              </w:rPr>
              <w:t xml:space="preserve">15c ust. 2 wyjaśnienia wymaga, jaki podmiot składa wniosek o przeprowadzenie analizy. Zgodnie bowiem z art. </w:t>
            </w:r>
            <w:r w:rsidR="00612AE7" w:rsidRPr="00612AE7">
              <w:rPr>
                <w:rFonts w:asciiTheme="minorHAnsi" w:hAnsiTheme="minorHAnsi" w:cstheme="minorHAnsi"/>
                <w:sz w:val="22"/>
                <w:szCs w:val="22"/>
              </w:rPr>
              <w:t xml:space="preserve">21f </w:t>
            </w:r>
            <w:r w:rsidR="00612AE7">
              <w:rPr>
                <w:rFonts w:asciiTheme="minorHAnsi" w:hAnsiTheme="minorHAnsi" w:cstheme="minorHAnsi"/>
                <w:sz w:val="22"/>
                <w:szCs w:val="22"/>
              </w:rPr>
              <w:t xml:space="preserve">ust. </w:t>
            </w:r>
            <w:r w:rsidR="00612AE7" w:rsidRPr="00612AE7">
              <w:rPr>
                <w:rFonts w:asciiTheme="minorHAnsi" w:hAnsiTheme="minorHAnsi" w:cstheme="minorHAnsi"/>
                <w:sz w:val="22"/>
                <w:szCs w:val="22"/>
              </w:rPr>
              <w:t>1</w:t>
            </w:r>
            <w:r w:rsidR="00612AE7">
              <w:rPr>
                <w:rFonts w:asciiTheme="minorHAnsi" w:hAnsiTheme="minorHAnsi" w:cstheme="minorHAnsi"/>
                <w:sz w:val="22"/>
                <w:szCs w:val="22"/>
              </w:rPr>
              <w:t xml:space="preserve"> ustawy </w:t>
            </w:r>
            <w:r w:rsidR="00327979">
              <w:rPr>
                <w:rFonts w:asciiTheme="minorHAnsi" w:hAnsiTheme="minorHAnsi" w:cstheme="minorHAnsi"/>
                <w:sz w:val="22"/>
                <w:szCs w:val="22"/>
              </w:rPr>
              <w:t xml:space="preserve">z </w:t>
            </w:r>
            <w:r w:rsidR="00327979" w:rsidRPr="00327979">
              <w:rPr>
                <w:rFonts w:asciiTheme="minorHAnsi" w:hAnsiTheme="minorHAnsi" w:cstheme="minorHAnsi"/>
                <w:sz w:val="22"/>
                <w:szCs w:val="22"/>
              </w:rPr>
              <w:t xml:space="preserve">dnia 6 grudnia 2006 r. </w:t>
            </w:r>
            <w:r w:rsidR="00612AE7">
              <w:rPr>
                <w:rFonts w:asciiTheme="minorHAnsi" w:hAnsiTheme="minorHAnsi" w:cstheme="minorHAnsi"/>
                <w:sz w:val="22"/>
                <w:szCs w:val="22"/>
              </w:rPr>
              <w:t xml:space="preserve">o zasadach prowadzenia polityki rozwoju </w:t>
            </w:r>
            <w:r w:rsidR="00612AE7" w:rsidRPr="00612AE7">
              <w:rPr>
                <w:rFonts w:asciiTheme="minorHAnsi" w:hAnsiTheme="minorHAnsi" w:cstheme="minorHAnsi"/>
                <w:sz w:val="22"/>
                <w:szCs w:val="22"/>
              </w:rPr>
              <w:t>politykę publiczną w uzgodnieniu z członkami Rady Ministrów</w:t>
            </w:r>
            <w:r w:rsidR="00612AE7">
              <w:rPr>
                <w:rFonts w:asciiTheme="minorHAnsi" w:hAnsiTheme="minorHAnsi" w:cstheme="minorHAnsi"/>
                <w:sz w:val="22"/>
                <w:szCs w:val="22"/>
              </w:rPr>
              <w:t xml:space="preserve"> </w:t>
            </w:r>
            <w:r w:rsidR="00612AE7" w:rsidRPr="00612AE7">
              <w:rPr>
                <w:rFonts w:asciiTheme="minorHAnsi" w:hAnsiTheme="minorHAnsi" w:cstheme="minorHAnsi"/>
                <w:sz w:val="22"/>
                <w:szCs w:val="22"/>
              </w:rPr>
              <w:t>opracowuje</w:t>
            </w:r>
            <w:r w:rsidR="00612AE7">
              <w:rPr>
                <w:rFonts w:asciiTheme="minorHAnsi" w:hAnsiTheme="minorHAnsi" w:cstheme="minorHAnsi"/>
                <w:sz w:val="22"/>
                <w:szCs w:val="22"/>
              </w:rPr>
              <w:t xml:space="preserve"> w</w:t>
            </w:r>
            <w:r w:rsidR="00612AE7" w:rsidRPr="00612AE7">
              <w:rPr>
                <w:rFonts w:asciiTheme="minorHAnsi" w:hAnsiTheme="minorHAnsi" w:cstheme="minorHAnsi"/>
                <w:sz w:val="22"/>
                <w:szCs w:val="22"/>
              </w:rPr>
              <w:t>łaściwy minister</w:t>
            </w:r>
            <w:r w:rsidR="00612AE7">
              <w:rPr>
                <w:rFonts w:asciiTheme="minorHAnsi" w:hAnsiTheme="minorHAnsi" w:cstheme="minorHAnsi"/>
                <w:sz w:val="22"/>
                <w:szCs w:val="22"/>
              </w:rPr>
              <w:t>;</w:t>
            </w:r>
          </w:p>
          <w:p w:rsidR="00612AE7" w:rsidRDefault="00612AE7" w:rsidP="00612AE7">
            <w:pPr>
              <w:jc w:val="both"/>
              <w:rPr>
                <w:rFonts w:asciiTheme="minorHAnsi" w:hAnsiTheme="minorHAnsi" w:cstheme="minorHAnsi"/>
                <w:sz w:val="22"/>
                <w:szCs w:val="22"/>
              </w:rPr>
            </w:pPr>
            <w:r>
              <w:rPr>
                <w:rFonts w:asciiTheme="minorHAnsi" w:hAnsiTheme="minorHAnsi" w:cstheme="minorHAnsi"/>
                <w:sz w:val="22"/>
                <w:szCs w:val="22"/>
              </w:rPr>
              <w:t xml:space="preserve">11) </w:t>
            </w:r>
            <w:r w:rsidR="00DD6E97">
              <w:rPr>
                <w:rFonts w:asciiTheme="minorHAnsi" w:hAnsiTheme="minorHAnsi" w:cstheme="minorHAnsi"/>
                <w:sz w:val="22"/>
                <w:szCs w:val="22"/>
              </w:rPr>
              <w:t xml:space="preserve">wyjaśnienia wymaga, </w:t>
            </w:r>
            <w:r w:rsidR="00EA694E">
              <w:rPr>
                <w:rFonts w:asciiTheme="minorHAnsi" w:hAnsiTheme="minorHAnsi" w:cstheme="minorHAnsi"/>
                <w:sz w:val="22"/>
                <w:szCs w:val="22"/>
              </w:rPr>
              <w:t xml:space="preserve">co należy rozumieć przez pojęcie „łączenia” danych z różnych rejestrów i systemów (projektowany art. 21a ust. 3) w </w:t>
            </w:r>
            <w:proofErr w:type="gramStart"/>
            <w:r w:rsidR="00EA694E">
              <w:rPr>
                <w:rFonts w:asciiTheme="minorHAnsi" w:hAnsiTheme="minorHAnsi" w:cstheme="minorHAnsi"/>
                <w:sz w:val="22"/>
                <w:szCs w:val="22"/>
              </w:rPr>
              <w:t>sytuacji</w:t>
            </w:r>
            <w:proofErr w:type="gramEnd"/>
            <w:r w:rsidR="00EA694E">
              <w:rPr>
                <w:rFonts w:asciiTheme="minorHAnsi" w:hAnsiTheme="minorHAnsi" w:cstheme="minorHAnsi"/>
                <w:sz w:val="22"/>
                <w:szCs w:val="22"/>
              </w:rPr>
              <w:t xml:space="preserve"> gdy na zintegrowaną platformę analityczną przekazywane są dane </w:t>
            </w:r>
            <w:proofErr w:type="spellStart"/>
            <w:r w:rsidR="00EA694E">
              <w:rPr>
                <w:rFonts w:asciiTheme="minorHAnsi" w:hAnsiTheme="minorHAnsi" w:cstheme="minorHAnsi"/>
                <w:sz w:val="22"/>
                <w:szCs w:val="22"/>
              </w:rPr>
              <w:t>pseudonimizowane</w:t>
            </w:r>
            <w:proofErr w:type="spellEnd"/>
            <w:r w:rsidR="00EA694E">
              <w:rPr>
                <w:rFonts w:asciiTheme="minorHAnsi" w:hAnsiTheme="minorHAnsi" w:cstheme="minorHAnsi"/>
                <w:sz w:val="22"/>
                <w:szCs w:val="22"/>
              </w:rPr>
              <w:t>;</w:t>
            </w:r>
          </w:p>
          <w:p w:rsidR="00EA694E" w:rsidRDefault="00EA694E" w:rsidP="00612AE7">
            <w:pPr>
              <w:jc w:val="both"/>
              <w:rPr>
                <w:rFonts w:asciiTheme="minorHAnsi" w:hAnsiTheme="minorHAnsi" w:cstheme="minorHAnsi"/>
                <w:sz w:val="22"/>
                <w:szCs w:val="22"/>
              </w:rPr>
            </w:pPr>
            <w:r>
              <w:rPr>
                <w:rFonts w:asciiTheme="minorHAnsi" w:hAnsiTheme="minorHAnsi" w:cstheme="minorHAnsi"/>
                <w:sz w:val="22"/>
                <w:szCs w:val="22"/>
              </w:rPr>
              <w:lastRenderedPageBreak/>
              <w:t>12) zgodnie z projektowanym art. 21a ust. 8 dane są przekazywane w postaci elektronicznej. Brak jednak wskazania w jaki sposób są one przekazywane na zintegrowaną platformę analityczną. Kwestia ta wymaga uzupełnienia</w:t>
            </w:r>
            <w:r w:rsidR="005F3141">
              <w:rPr>
                <w:rFonts w:asciiTheme="minorHAnsi" w:hAnsiTheme="minorHAnsi" w:cstheme="minorHAnsi"/>
                <w:sz w:val="22"/>
                <w:szCs w:val="22"/>
              </w:rPr>
              <w:t>, sposób przekazania danych nie powinien bowiem pozostać poza regulacją ustawową (a taki tryb przewiduje projektowany art. 21b ust. 3)</w:t>
            </w:r>
            <w:r>
              <w:rPr>
                <w:rFonts w:asciiTheme="minorHAnsi" w:hAnsiTheme="minorHAnsi" w:cstheme="minorHAnsi"/>
                <w:sz w:val="22"/>
                <w:szCs w:val="22"/>
              </w:rPr>
              <w:t>;</w:t>
            </w:r>
            <w:r w:rsidR="005F3141">
              <w:rPr>
                <w:rFonts w:asciiTheme="minorHAnsi" w:hAnsiTheme="minorHAnsi" w:cstheme="minorHAnsi"/>
                <w:sz w:val="22"/>
                <w:szCs w:val="22"/>
              </w:rPr>
              <w:t xml:space="preserve"> </w:t>
            </w:r>
            <w:r w:rsidR="000657D5">
              <w:rPr>
                <w:rFonts w:asciiTheme="minorHAnsi" w:hAnsiTheme="minorHAnsi" w:cstheme="minorHAnsi"/>
                <w:sz w:val="22"/>
                <w:szCs w:val="22"/>
              </w:rPr>
              <w:t xml:space="preserve">także w przypadku </w:t>
            </w:r>
            <w:proofErr w:type="spellStart"/>
            <w:r w:rsidR="000657D5">
              <w:rPr>
                <w:rFonts w:asciiTheme="minorHAnsi" w:hAnsiTheme="minorHAnsi" w:cstheme="minorHAnsi"/>
                <w:sz w:val="22"/>
                <w:szCs w:val="22"/>
              </w:rPr>
              <w:t>pseudonimizacji</w:t>
            </w:r>
            <w:proofErr w:type="spellEnd"/>
            <w:r w:rsidR="000657D5">
              <w:rPr>
                <w:rFonts w:asciiTheme="minorHAnsi" w:hAnsiTheme="minorHAnsi" w:cstheme="minorHAnsi"/>
                <w:sz w:val="22"/>
                <w:szCs w:val="22"/>
              </w:rPr>
              <w:t xml:space="preserve"> danych</w:t>
            </w:r>
            <w:r w:rsidR="003F7765">
              <w:rPr>
                <w:rFonts w:asciiTheme="minorHAnsi" w:hAnsiTheme="minorHAnsi" w:cstheme="minorHAnsi"/>
                <w:sz w:val="22"/>
                <w:szCs w:val="22"/>
              </w:rPr>
              <w:t xml:space="preserve">, decyzja o sposobie ich </w:t>
            </w:r>
            <w:proofErr w:type="spellStart"/>
            <w:r w:rsidR="003F7765">
              <w:rPr>
                <w:rFonts w:asciiTheme="minorHAnsi" w:hAnsiTheme="minorHAnsi" w:cstheme="minorHAnsi"/>
                <w:sz w:val="22"/>
                <w:szCs w:val="22"/>
              </w:rPr>
              <w:t>anonimizacji</w:t>
            </w:r>
            <w:proofErr w:type="spellEnd"/>
            <w:r w:rsidR="003F7765">
              <w:rPr>
                <w:rFonts w:asciiTheme="minorHAnsi" w:hAnsiTheme="minorHAnsi" w:cstheme="minorHAnsi"/>
                <w:sz w:val="22"/>
                <w:szCs w:val="22"/>
              </w:rPr>
              <w:t xml:space="preserve"> nie powinna być podejmowana indywidualnie przez podmiot uczestniczący w przetwarzaniu tych danych. Decyzję o sposobie </w:t>
            </w:r>
            <w:proofErr w:type="spellStart"/>
            <w:r w:rsidR="003F7765">
              <w:rPr>
                <w:rFonts w:asciiTheme="minorHAnsi" w:hAnsiTheme="minorHAnsi" w:cstheme="minorHAnsi"/>
                <w:sz w:val="22"/>
                <w:szCs w:val="22"/>
              </w:rPr>
              <w:t>pseudonimizacji</w:t>
            </w:r>
            <w:proofErr w:type="spellEnd"/>
            <w:r w:rsidR="003F7765">
              <w:rPr>
                <w:rFonts w:asciiTheme="minorHAnsi" w:hAnsiTheme="minorHAnsi" w:cstheme="minorHAnsi"/>
                <w:sz w:val="22"/>
                <w:szCs w:val="22"/>
              </w:rPr>
              <w:t xml:space="preserve"> powinien podjąć podmiot te dane przekazujący;</w:t>
            </w:r>
          </w:p>
          <w:p w:rsidR="00EA694E" w:rsidRDefault="00EA694E" w:rsidP="00612AE7">
            <w:pPr>
              <w:jc w:val="both"/>
              <w:rPr>
                <w:rFonts w:asciiTheme="minorHAnsi" w:hAnsiTheme="minorHAnsi" w:cstheme="minorHAnsi"/>
                <w:sz w:val="22"/>
                <w:szCs w:val="22"/>
              </w:rPr>
            </w:pPr>
            <w:r>
              <w:rPr>
                <w:rFonts w:asciiTheme="minorHAnsi" w:hAnsiTheme="minorHAnsi" w:cstheme="minorHAnsi"/>
                <w:sz w:val="22"/>
                <w:szCs w:val="22"/>
              </w:rPr>
              <w:t xml:space="preserve">13) </w:t>
            </w:r>
            <w:r w:rsidR="005F3141">
              <w:rPr>
                <w:rFonts w:asciiTheme="minorHAnsi" w:hAnsiTheme="minorHAnsi" w:cstheme="minorHAnsi"/>
                <w:sz w:val="22"/>
                <w:szCs w:val="22"/>
              </w:rPr>
              <w:t xml:space="preserve">mając na uwadze konieczność </w:t>
            </w:r>
            <w:r w:rsidR="004D0D20">
              <w:rPr>
                <w:rFonts w:asciiTheme="minorHAnsi" w:hAnsiTheme="minorHAnsi" w:cstheme="minorHAnsi"/>
                <w:sz w:val="22"/>
                <w:szCs w:val="22"/>
              </w:rPr>
              <w:t>zapewnienia przejrzystości i jasności przepisów, realizując zasadę określoności przepisów prawa, projektowany przepis karny art. 21d należy uzupełnić o wskazanie konkretnych przepisów ustawy, których naruszenie skutkuje nałożeniem sankcji o charakterze karnym;</w:t>
            </w:r>
          </w:p>
          <w:p w:rsidR="004D0D20" w:rsidRDefault="003F7765" w:rsidP="00612AE7">
            <w:pPr>
              <w:jc w:val="both"/>
              <w:rPr>
                <w:rFonts w:asciiTheme="minorHAnsi" w:hAnsiTheme="minorHAnsi" w:cstheme="minorHAnsi"/>
                <w:sz w:val="22"/>
                <w:szCs w:val="22"/>
              </w:rPr>
            </w:pPr>
            <w:r>
              <w:rPr>
                <w:rFonts w:asciiTheme="minorHAnsi" w:hAnsiTheme="minorHAnsi" w:cstheme="minorHAnsi"/>
                <w:sz w:val="22"/>
                <w:szCs w:val="22"/>
              </w:rPr>
              <w:t>14) projektowany przepis art. 21a ust. 4 zawiera obszerny katalog danych przetwarzanych w zintegrowanej platformie analitycznej (bardziej lub mniej doprecyzowanych) wśród których wskazać można dane osobowe</w:t>
            </w:r>
            <w:r w:rsidR="000B3814">
              <w:rPr>
                <w:rFonts w:asciiTheme="minorHAnsi" w:hAnsiTheme="minorHAnsi" w:cstheme="minorHAnsi"/>
                <w:sz w:val="22"/>
                <w:szCs w:val="22"/>
              </w:rPr>
              <w:t>, także dane</w:t>
            </w:r>
            <w:r w:rsidR="000B3814" w:rsidRPr="000B3814">
              <w:rPr>
                <w:rFonts w:asciiTheme="minorHAnsi" w:hAnsiTheme="minorHAnsi" w:cstheme="minorHAnsi"/>
                <w:sz w:val="22"/>
                <w:szCs w:val="22"/>
              </w:rPr>
              <w:t xml:space="preserve"> objęte tajemnicą lekarską</w:t>
            </w:r>
            <w:r>
              <w:rPr>
                <w:rFonts w:asciiTheme="minorHAnsi" w:hAnsiTheme="minorHAnsi" w:cstheme="minorHAnsi"/>
                <w:sz w:val="22"/>
                <w:szCs w:val="22"/>
              </w:rPr>
              <w:t>, w tym dane wrażliwe.</w:t>
            </w:r>
            <w:r w:rsidR="000B3814">
              <w:t xml:space="preserve"> </w:t>
            </w:r>
            <w:r>
              <w:rPr>
                <w:rFonts w:asciiTheme="minorHAnsi" w:hAnsiTheme="minorHAnsi" w:cstheme="minorHAnsi"/>
                <w:sz w:val="22"/>
                <w:szCs w:val="22"/>
              </w:rPr>
              <w:t xml:space="preserve">Wobec powyższego </w:t>
            </w:r>
            <w:r w:rsidR="000B3814">
              <w:rPr>
                <w:rFonts w:asciiTheme="minorHAnsi" w:hAnsiTheme="minorHAnsi" w:cstheme="minorHAnsi"/>
                <w:sz w:val="22"/>
                <w:szCs w:val="22"/>
              </w:rPr>
              <w:t xml:space="preserve">zasadnym jest zasięgnięcie aktualnej opinii PUODO </w:t>
            </w:r>
            <w:r w:rsidR="00172BED">
              <w:rPr>
                <w:rFonts w:asciiTheme="minorHAnsi" w:hAnsiTheme="minorHAnsi" w:cstheme="minorHAnsi"/>
                <w:sz w:val="22"/>
                <w:szCs w:val="22"/>
              </w:rPr>
              <w:t xml:space="preserve">co do </w:t>
            </w:r>
            <w:r w:rsidR="000B3814">
              <w:rPr>
                <w:rFonts w:asciiTheme="minorHAnsi" w:hAnsiTheme="minorHAnsi" w:cstheme="minorHAnsi"/>
                <w:sz w:val="22"/>
                <w:szCs w:val="22"/>
              </w:rPr>
              <w:t>możliwości przetwarzania tych danych w ramach zintegrowanej platformy analitycznej;</w:t>
            </w:r>
          </w:p>
          <w:p w:rsidR="007F4941" w:rsidRPr="00A06425" w:rsidRDefault="00B66E63" w:rsidP="00CF108B">
            <w:pPr>
              <w:jc w:val="both"/>
              <w:rPr>
                <w:rFonts w:asciiTheme="minorHAnsi" w:hAnsiTheme="minorHAnsi" w:cstheme="minorHAnsi"/>
                <w:sz w:val="22"/>
                <w:szCs w:val="22"/>
              </w:rPr>
            </w:pPr>
            <w:r>
              <w:rPr>
                <w:rFonts w:asciiTheme="minorHAnsi" w:hAnsiTheme="minorHAnsi" w:cstheme="minorHAnsi"/>
                <w:sz w:val="22"/>
                <w:szCs w:val="22"/>
              </w:rPr>
              <w:t xml:space="preserve">15) zgodnie z </w:t>
            </w:r>
            <w:r w:rsidR="00CB0A6A" w:rsidRPr="00CB0A6A">
              <w:rPr>
                <w:rFonts w:asciiTheme="minorHAnsi" w:hAnsiTheme="minorHAnsi" w:cstheme="minorHAnsi"/>
                <w:sz w:val="22"/>
                <w:szCs w:val="22"/>
              </w:rPr>
              <w:t xml:space="preserve">projektowanym przepisem </w:t>
            </w:r>
            <w:r>
              <w:rPr>
                <w:rFonts w:asciiTheme="minorHAnsi" w:hAnsiTheme="minorHAnsi" w:cstheme="minorHAnsi"/>
                <w:sz w:val="22"/>
                <w:szCs w:val="22"/>
              </w:rPr>
              <w:t>art. 21a ust. 7 pkt 2 lit. d minister właściwy do spraw informatyzacji przekazuje, n</w:t>
            </w:r>
            <w:r w:rsidRPr="00F50951">
              <w:rPr>
                <w:rFonts w:asciiTheme="minorHAnsi" w:hAnsiTheme="minorHAnsi" w:cstheme="minorHAnsi"/>
                <w:sz w:val="22"/>
                <w:szCs w:val="22"/>
              </w:rPr>
              <w:t>a potrzeby prowadzenia analiz</w:t>
            </w:r>
            <w:r>
              <w:rPr>
                <w:rFonts w:asciiTheme="minorHAnsi" w:hAnsiTheme="minorHAnsi" w:cstheme="minorHAnsi"/>
                <w:sz w:val="22"/>
                <w:szCs w:val="22"/>
              </w:rPr>
              <w:t>,</w:t>
            </w:r>
            <w:r w:rsidRPr="00F50951">
              <w:rPr>
                <w:rFonts w:asciiTheme="minorHAnsi" w:hAnsiTheme="minorHAnsi" w:cstheme="minorHAnsi"/>
                <w:sz w:val="22"/>
                <w:szCs w:val="22"/>
              </w:rPr>
              <w:t xml:space="preserve"> </w:t>
            </w:r>
            <w:r>
              <w:rPr>
                <w:rFonts w:asciiTheme="minorHAnsi" w:hAnsiTheme="minorHAnsi" w:cstheme="minorHAnsi"/>
                <w:sz w:val="22"/>
                <w:szCs w:val="22"/>
              </w:rPr>
              <w:t xml:space="preserve">dane gromadzone </w:t>
            </w:r>
            <w:r w:rsidRPr="00F50951">
              <w:rPr>
                <w:rFonts w:asciiTheme="minorHAnsi" w:hAnsiTheme="minorHAnsi" w:cstheme="minorHAnsi"/>
                <w:sz w:val="22"/>
                <w:szCs w:val="22"/>
              </w:rPr>
              <w:t>na podstawie ustawy z dnia 5 stycznia 2011 r. o kierujących pojazdami (Dz.U. z 2021 r. poz. 1212, 1997, 2269, 2328, 2490 oraz z 2022 r. poz. 655) oraz ustawy z dnia 20 czerwca 1997 - Prawo o ruchu drogowym (Dz. U. 2022 r. poz. 988, 1002, 1768 i 1783)</w:t>
            </w:r>
            <w:r>
              <w:rPr>
                <w:rFonts w:asciiTheme="minorHAnsi" w:hAnsiTheme="minorHAnsi" w:cstheme="minorHAnsi"/>
                <w:sz w:val="22"/>
                <w:szCs w:val="22"/>
              </w:rPr>
              <w:t xml:space="preserve">. Wskazać jednak należy, że ww. ustawy nie są przedmiotem </w:t>
            </w:r>
            <w:r w:rsidR="00CB0A6A">
              <w:rPr>
                <w:rFonts w:asciiTheme="minorHAnsi" w:hAnsiTheme="minorHAnsi" w:cstheme="minorHAnsi"/>
                <w:sz w:val="22"/>
                <w:szCs w:val="22"/>
              </w:rPr>
              <w:t>nowelizacji</w:t>
            </w:r>
            <w:r>
              <w:rPr>
                <w:rFonts w:asciiTheme="minorHAnsi" w:hAnsiTheme="minorHAnsi" w:cstheme="minorHAnsi"/>
                <w:sz w:val="22"/>
                <w:szCs w:val="22"/>
              </w:rPr>
              <w:t xml:space="preserve"> opiniowanego projektu ustawy, tak jak to uczyniono z szeregiem ustaw regulujących kwestie systemów teleinformatycznych i rejestrów</w:t>
            </w:r>
            <w:r w:rsidR="00172BED">
              <w:rPr>
                <w:rFonts w:asciiTheme="minorHAnsi" w:hAnsiTheme="minorHAnsi" w:cstheme="minorHAnsi"/>
                <w:sz w:val="22"/>
                <w:szCs w:val="22"/>
              </w:rPr>
              <w:t>,</w:t>
            </w:r>
            <w:r>
              <w:rPr>
                <w:rFonts w:asciiTheme="minorHAnsi" w:hAnsiTheme="minorHAnsi" w:cstheme="minorHAnsi"/>
                <w:sz w:val="22"/>
                <w:szCs w:val="22"/>
              </w:rPr>
              <w:t xml:space="preserve"> z</w:t>
            </w:r>
            <w:r w:rsidR="00CB0A6A">
              <w:rPr>
                <w:rFonts w:asciiTheme="minorHAnsi" w:hAnsiTheme="minorHAnsi" w:cstheme="minorHAnsi"/>
                <w:sz w:val="22"/>
                <w:szCs w:val="22"/>
              </w:rPr>
              <w:t xml:space="preserve"> </w:t>
            </w:r>
            <w:r>
              <w:rPr>
                <w:rFonts w:asciiTheme="minorHAnsi" w:hAnsiTheme="minorHAnsi" w:cstheme="minorHAnsi"/>
                <w:sz w:val="22"/>
                <w:szCs w:val="22"/>
              </w:rPr>
              <w:t>których będą przekazywane dane do zintegrowanej platformy analitycznej. Powyższe wymaga wyjaśnienia bądź uzupełnienia regulacji</w:t>
            </w:r>
            <w:r w:rsidR="00CB0A6A">
              <w:rPr>
                <w:rFonts w:asciiTheme="minorHAnsi" w:hAnsiTheme="minorHAnsi" w:cstheme="minorHAnsi"/>
                <w:sz w:val="22"/>
                <w:szCs w:val="22"/>
              </w:rPr>
              <w:t xml:space="preserve"> w powyższym zakresie</w:t>
            </w:r>
            <w:r>
              <w:rPr>
                <w:rFonts w:asciiTheme="minorHAnsi" w:hAnsiTheme="minorHAnsi" w:cstheme="minorHAnsi"/>
                <w:sz w:val="22"/>
                <w:szCs w:val="22"/>
              </w:rPr>
              <w:t>.</w:t>
            </w:r>
          </w:p>
        </w:tc>
        <w:tc>
          <w:tcPr>
            <w:tcW w:w="2552" w:type="dxa"/>
            <w:shd w:val="clear" w:color="auto" w:fill="auto"/>
          </w:tcPr>
          <w:p w:rsidR="00C75ADB" w:rsidRPr="00A06425" w:rsidRDefault="00C75ADB" w:rsidP="004D086F">
            <w:pPr>
              <w:jc w:val="center"/>
              <w:rPr>
                <w:rFonts w:asciiTheme="minorHAnsi" w:hAnsiTheme="minorHAnsi" w:cstheme="minorHAnsi"/>
                <w:sz w:val="22"/>
                <w:szCs w:val="22"/>
              </w:rPr>
            </w:pPr>
          </w:p>
        </w:tc>
        <w:tc>
          <w:tcPr>
            <w:tcW w:w="1359" w:type="dxa"/>
          </w:tcPr>
          <w:p w:rsidR="00C75ADB" w:rsidRPr="00A06425" w:rsidRDefault="00C75ADB" w:rsidP="004D086F">
            <w:pPr>
              <w:jc w:val="center"/>
              <w:rPr>
                <w:rFonts w:asciiTheme="minorHAnsi" w:hAnsiTheme="minorHAnsi" w:cstheme="minorHAnsi"/>
                <w:sz w:val="22"/>
                <w:szCs w:val="22"/>
              </w:rPr>
            </w:pPr>
          </w:p>
        </w:tc>
      </w:tr>
      <w:tr w:rsidR="001E10EF" w:rsidRPr="00A06425" w:rsidTr="006976D6">
        <w:tc>
          <w:tcPr>
            <w:tcW w:w="562" w:type="dxa"/>
            <w:shd w:val="clear" w:color="auto" w:fill="auto"/>
          </w:tcPr>
          <w:p w:rsidR="001E10EF" w:rsidRPr="00A06425" w:rsidRDefault="001E10EF" w:rsidP="00A06425">
            <w:pPr>
              <w:spacing w:before="120" w:after="120"/>
              <w:jc w:val="center"/>
              <w:rPr>
                <w:rFonts w:asciiTheme="minorHAnsi" w:hAnsiTheme="minorHAnsi" w:cstheme="minorHAnsi"/>
                <w:b/>
                <w:sz w:val="22"/>
                <w:szCs w:val="22"/>
              </w:rPr>
            </w:pPr>
          </w:p>
        </w:tc>
        <w:tc>
          <w:tcPr>
            <w:tcW w:w="1134" w:type="dxa"/>
            <w:shd w:val="clear" w:color="auto" w:fill="auto"/>
          </w:tcPr>
          <w:p w:rsidR="001E10EF" w:rsidRPr="00A06425" w:rsidRDefault="001E10EF" w:rsidP="004D086F">
            <w:pPr>
              <w:spacing w:before="60" w:after="60"/>
              <w:jc w:val="center"/>
              <w:rPr>
                <w:rFonts w:asciiTheme="minorHAnsi" w:hAnsiTheme="minorHAnsi" w:cstheme="minorHAnsi"/>
                <w:b/>
                <w:sz w:val="22"/>
                <w:szCs w:val="22"/>
              </w:rPr>
            </w:pPr>
          </w:p>
        </w:tc>
        <w:tc>
          <w:tcPr>
            <w:tcW w:w="1843" w:type="dxa"/>
            <w:shd w:val="clear" w:color="auto" w:fill="auto"/>
          </w:tcPr>
          <w:p w:rsidR="001E10EF" w:rsidRPr="00A06425" w:rsidRDefault="00C053D0" w:rsidP="004D086F">
            <w:pPr>
              <w:jc w:val="center"/>
              <w:rPr>
                <w:rFonts w:asciiTheme="minorHAnsi" w:hAnsiTheme="minorHAnsi" w:cstheme="minorHAnsi"/>
                <w:sz w:val="22"/>
                <w:szCs w:val="22"/>
              </w:rPr>
            </w:pPr>
            <w:r>
              <w:rPr>
                <w:rFonts w:asciiTheme="minorHAnsi" w:hAnsiTheme="minorHAnsi" w:cstheme="minorHAnsi"/>
                <w:sz w:val="22"/>
                <w:szCs w:val="22"/>
              </w:rPr>
              <w:t>Art. 34</w:t>
            </w:r>
          </w:p>
        </w:tc>
        <w:tc>
          <w:tcPr>
            <w:tcW w:w="7938" w:type="dxa"/>
            <w:shd w:val="clear" w:color="auto" w:fill="auto"/>
          </w:tcPr>
          <w:p w:rsidR="001E10EF" w:rsidRDefault="006331AB" w:rsidP="006331AB">
            <w:pPr>
              <w:jc w:val="both"/>
              <w:rPr>
                <w:rFonts w:asciiTheme="minorHAnsi" w:hAnsiTheme="minorHAnsi" w:cstheme="minorHAnsi"/>
                <w:sz w:val="22"/>
                <w:szCs w:val="22"/>
              </w:rPr>
            </w:pPr>
            <w:r>
              <w:rPr>
                <w:rFonts w:asciiTheme="minorHAnsi" w:hAnsiTheme="minorHAnsi" w:cstheme="minorHAnsi"/>
                <w:sz w:val="22"/>
                <w:szCs w:val="22"/>
              </w:rPr>
              <w:t xml:space="preserve">W </w:t>
            </w:r>
            <w:r w:rsidR="00CF108B">
              <w:rPr>
                <w:rFonts w:asciiTheme="minorHAnsi" w:hAnsiTheme="minorHAnsi" w:cstheme="minorHAnsi"/>
                <w:sz w:val="22"/>
                <w:szCs w:val="22"/>
              </w:rPr>
              <w:t>odniesieniu do</w:t>
            </w:r>
            <w:r>
              <w:rPr>
                <w:rFonts w:asciiTheme="minorHAnsi" w:hAnsiTheme="minorHAnsi" w:cstheme="minorHAnsi"/>
                <w:sz w:val="22"/>
                <w:szCs w:val="22"/>
              </w:rPr>
              <w:t xml:space="preserve"> projektowanej nowelizacji przepisów ustawy </w:t>
            </w:r>
            <w:r w:rsidRPr="006331AB">
              <w:rPr>
                <w:rFonts w:asciiTheme="minorHAnsi" w:hAnsiTheme="minorHAnsi" w:cstheme="minorHAnsi"/>
                <w:sz w:val="22"/>
                <w:szCs w:val="22"/>
              </w:rPr>
              <w:t>z dnia 18 listopada 2020 r. o doręczeniach elektronicznych</w:t>
            </w:r>
            <w:r>
              <w:rPr>
                <w:rFonts w:asciiTheme="minorHAnsi" w:hAnsiTheme="minorHAnsi" w:cstheme="minorHAnsi"/>
                <w:sz w:val="22"/>
                <w:szCs w:val="22"/>
              </w:rPr>
              <w:t>:</w:t>
            </w:r>
          </w:p>
          <w:p w:rsidR="0031584E" w:rsidRDefault="006331AB" w:rsidP="006331AB">
            <w:pPr>
              <w:jc w:val="both"/>
              <w:rPr>
                <w:rFonts w:asciiTheme="minorHAnsi" w:hAnsiTheme="minorHAnsi" w:cstheme="minorHAnsi"/>
                <w:sz w:val="22"/>
                <w:szCs w:val="22"/>
              </w:rPr>
            </w:pPr>
            <w:r>
              <w:rPr>
                <w:rFonts w:asciiTheme="minorHAnsi" w:hAnsiTheme="minorHAnsi" w:cstheme="minorHAnsi"/>
                <w:sz w:val="22"/>
                <w:szCs w:val="22"/>
              </w:rPr>
              <w:t xml:space="preserve">1) </w:t>
            </w:r>
            <w:r w:rsidR="00672E9B">
              <w:rPr>
                <w:rFonts w:asciiTheme="minorHAnsi" w:hAnsiTheme="minorHAnsi" w:cstheme="minorHAnsi"/>
                <w:sz w:val="22"/>
                <w:szCs w:val="22"/>
              </w:rPr>
              <w:t xml:space="preserve">art. 12 – polegającej na rezygnacji z umieszczonego obecnie w ust. 2 katalogu danych zawartych we wniosku i przeniesienie tego uregulowania na grunt aktu wykonawczego (projektowany ust. 4) wyjaśnienia wymaga </w:t>
            </w:r>
            <w:r w:rsidR="00672E9B" w:rsidRPr="00803FE8">
              <w:rPr>
                <w:rFonts w:asciiTheme="minorHAnsi" w:hAnsiTheme="minorHAnsi" w:cstheme="minorHAnsi"/>
                <w:i/>
                <w:sz w:val="22"/>
                <w:szCs w:val="22"/>
              </w:rPr>
              <w:t>ratio legis</w:t>
            </w:r>
            <w:r w:rsidR="00672E9B">
              <w:rPr>
                <w:rFonts w:asciiTheme="minorHAnsi" w:hAnsiTheme="minorHAnsi" w:cstheme="minorHAnsi"/>
                <w:sz w:val="22"/>
                <w:szCs w:val="22"/>
              </w:rPr>
              <w:t xml:space="preserve"> takiego rozwiązania, uzasadnienie tych przepisów w opinii RCL jest bowiem niewystarczające. Dodatkowo </w:t>
            </w:r>
            <w:r w:rsidR="00803FE8">
              <w:rPr>
                <w:rFonts w:asciiTheme="minorHAnsi" w:hAnsiTheme="minorHAnsi" w:cstheme="minorHAnsi"/>
                <w:sz w:val="22"/>
                <w:szCs w:val="22"/>
              </w:rPr>
              <w:t>Rządowe Centrum Legislacji</w:t>
            </w:r>
            <w:r w:rsidR="00672E9B">
              <w:rPr>
                <w:rFonts w:asciiTheme="minorHAnsi" w:hAnsiTheme="minorHAnsi" w:cstheme="minorHAnsi"/>
                <w:sz w:val="22"/>
                <w:szCs w:val="22"/>
              </w:rPr>
              <w:t xml:space="preserve"> </w:t>
            </w:r>
            <w:r w:rsidR="00803FE8">
              <w:rPr>
                <w:rFonts w:asciiTheme="minorHAnsi" w:hAnsiTheme="minorHAnsi" w:cstheme="minorHAnsi"/>
                <w:sz w:val="22"/>
                <w:szCs w:val="22"/>
              </w:rPr>
              <w:t>zauważa</w:t>
            </w:r>
            <w:r w:rsidR="00672E9B">
              <w:rPr>
                <w:rFonts w:asciiTheme="minorHAnsi" w:hAnsiTheme="minorHAnsi" w:cstheme="minorHAnsi"/>
                <w:sz w:val="22"/>
                <w:szCs w:val="22"/>
              </w:rPr>
              <w:t xml:space="preserve">, że przepis ust. 2 w </w:t>
            </w:r>
            <w:r w:rsidR="0031584E">
              <w:rPr>
                <w:rFonts w:asciiTheme="minorHAnsi" w:hAnsiTheme="minorHAnsi" w:cstheme="minorHAnsi"/>
                <w:sz w:val="22"/>
                <w:szCs w:val="22"/>
              </w:rPr>
              <w:t>projektowanym</w:t>
            </w:r>
            <w:r w:rsidR="00672E9B">
              <w:rPr>
                <w:rFonts w:asciiTheme="minorHAnsi" w:hAnsiTheme="minorHAnsi" w:cstheme="minorHAnsi"/>
                <w:sz w:val="22"/>
                <w:szCs w:val="22"/>
              </w:rPr>
              <w:t xml:space="preserve"> brzmieniu wskazuje, że wniosek zawiera </w:t>
            </w:r>
            <w:r w:rsidR="0031584E">
              <w:rPr>
                <w:rFonts w:asciiTheme="minorHAnsi" w:hAnsiTheme="minorHAnsi" w:cstheme="minorHAnsi"/>
                <w:sz w:val="22"/>
                <w:szCs w:val="22"/>
              </w:rPr>
              <w:t xml:space="preserve">dane „inne niezbędne” do utworzenia adresu, co czyni ten przepis nieokreślonym i daje projektodawcy dużą swobodę przy wydawaniu aktu wykonawczego. </w:t>
            </w:r>
            <w:r w:rsidR="00803FE8">
              <w:rPr>
                <w:rFonts w:asciiTheme="minorHAnsi" w:hAnsiTheme="minorHAnsi" w:cstheme="minorHAnsi"/>
                <w:sz w:val="22"/>
                <w:szCs w:val="22"/>
              </w:rPr>
              <w:t>P</w:t>
            </w:r>
            <w:r w:rsidR="0031584E">
              <w:rPr>
                <w:rFonts w:asciiTheme="minorHAnsi" w:hAnsiTheme="minorHAnsi" w:cstheme="minorHAnsi"/>
                <w:sz w:val="22"/>
                <w:szCs w:val="22"/>
              </w:rPr>
              <w:t xml:space="preserve">roponuje </w:t>
            </w:r>
            <w:r w:rsidR="00803FE8">
              <w:rPr>
                <w:rFonts w:asciiTheme="minorHAnsi" w:hAnsiTheme="minorHAnsi" w:cstheme="minorHAnsi"/>
                <w:sz w:val="22"/>
                <w:szCs w:val="22"/>
              </w:rPr>
              <w:t xml:space="preserve">się </w:t>
            </w:r>
            <w:r w:rsidR="0031584E">
              <w:rPr>
                <w:rFonts w:asciiTheme="minorHAnsi" w:hAnsiTheme="minorHAnsi" w:cstheme="minorHAnsi"/>
                <w:sz w:val="22"/>
                <w:szCs w:val="22"/>
              </w:rPr>
              <w:t xml:space="preserve">więc pozostawienie przepisów art. 12 w obecnym </w:t>
            </w:r>
            <w:r w:rsidR="0031584E">
              <w:rPr>
                <w:rFonts w:asciiTheme="minorHAnsi" w:hAnsiTheme="minorHAnsi" w:cstheme="minorHAnsi"/>
                <w:sz w:val="22"/>
                <w:szCs w:val="22"/>
              </w:rPr>
              <w:lastRenderedPageBreak/>
              <w:t>kształcie przy ewentualnym dodaniu innych wymaganych danych oraz ich doprecyzowaniu;</w:t>
            </w:r>
            <w:r w:rsidR="00877DD5">
              <w:rPr>
                <w:rFonts w:asciiTheme="minorHAnsi" w:hAnsiTheme="minorHAnsi" w:cstheme="minorHAnsi"/>
                <w:sz w:val="22"/>
                <w:szCs w:val="22"/>
              </w:rPr>
              <w:t xml:space="preserve"> </w:t>
            </w:r>
            <w:r w:rsidR="00877DD5" w:rsidRPr="00B63B77">
              <w:rPr>
                <w:rFonts w:asciiTheme="minorHAnsi" w:hAnsiTheme="minorHAnsi" w:cstheme="minorHAnsi"/>
                <w:sz w:val="22"/>
                <w:szCs w:val="22"/>
                <w:u w:val="single"/>
              </w:rPr>
              <w:t xml:space="preserve">powyższa uwaga odnosi się także do nowego brzmienia art. 14 </w:t>
            </w:r>
            <w:r w:rsidR="00526BED">
              <w:rPr>
                <w:rFonts w:asciiTheme="minorHAnsi" w:hAnsiTheme="minorHAnsi" w:cstheme="minorHAnsi"/>
                <w:sz w:val="22"/>
                <w:szCs w:val="22"/>
                <w:u w:val="single"/>
              </w:rPr>
              <w:t xml:space="preserve">oraz art. 29 </w:t>
            </w:r>
            <w:r w:rsidR="00877DD5" w:rsidRPr="00B63B77">
              <w:rPr>
                <w:rFonts w:asciiTheme="minorHAnsi" w:hAnsiTheme="minorHAnsi" w:cstheme="minorHAnsi"/>
                <w:sz w:val="22"/>
                <w:szCs w:val="22"/>
                <w:u w:val="single"/>
              </w:rPr>
              <w:t>tej ustawy</w:t>
            </w:r>
            <w:r w:rsidR="00B63B77">
              <w:rPr>
                <w:rFonts w:asciiTheme="minorHAnsi" w:hAnsiTheme="minorHAnsi" w:cstheme="minorHAnsi"/>
                <w:sz w:val="22"/>
                <w:szCs w:val="22"/>
                <w:u w:val="single"/>
              </w:rPr>
              <w:t>;</w:t>
            </w:r>
          </w:p>
          <w:p w:rsidR="006331AB" w:rsidRDefault="0031584E" w:rsidP="006331AB">
            <w:pPr>
              <w:jc w:val="both"/>
              <w:rPr>
                <w:rFonts w:asciiTheme="minorHAnsi" w:hAnsiTheme="minorHAnsi" w:cstheme="minorHAnsi"/>
                <w:sz w:val="22"/>
                <w:szCs w:val="22"/>
              </w:rPr>
            </w:pPr>
            <w:r>
              <w:rPr>
                <w:rFonts w:asciiTheme="minorHAnsi" w:hAnsiTheme="minorHAnsi" w:cstheme="minorHAnsi"/>
                <w:sz w:val="22"/>
                <w:szCs w:val="22"/>
              </w:rPr>
              <w:t xml:space="preserve">2)  </w:t>
            </w:r>
            <w:r w:rsidR="006C51FE">
              <w:rPr>
                <w:rFonts w:asciiTheme="minorHAnsi" w:hAnsiTheme="minorHAnsi" w:cstheme="minorHAnsi"/>
                <w:sz w:val="22"/>
                <w:szCs w:val="22"/>
              </w:rPr>
              <w:t xml:space="preserve">art. 23 </w:t>
            </w:r>
            <w:r w:rsidR="0086442D">
              <w:rPr>
                <w:rFonts w:asciiTheme="minorHAnsi" w:hAnsiTheme="minorHAnsi" w:cstheme="minorHAnsi"/>
                <w:sz w:val="22"/>
                <w:szCs w:val="22"/>
              </w:rPr>
              <w:t xml:space="preserve">oraz art. 34 </w:t>
            </w:r>
            <w:r w:rsidR="00B76ED5">
              <w:rPr>
                <w:rFonts w:asciiTheme="minorHAnsi" w:hAnsiTheme="minorHAnsi" w:cstheme="minorHAnsi"/>
                <w:sz w:val="22"/>
                <w:szCs w:val="22"/>
              </w:rPr>
              <w:t>–</w:t>
            </w:r>
            <w:r w:rsidR="006C51FE">
              <w:rPr>
                <w:rFonts w:asciiTheme="minorHAnsi" w:hAnsiTheme="minorHAnsi" w:cstheme="minorHAnsi"/>
                <w:sz w:val="22"/>
                <w:szCs w:val="22"/>
              </w:rPr>
              <w:t xml:space="preserve"> </w:t>
            </w:r>
            <w:r w:rsidR="00B76ED5">
              <w:rPr>
                <w:rFonts w:asciiTheme="minorHAnsi" w:hAnsiTheme="minorHAnsi" w:cstheme="minorHAnsi"/>
                <w:sz w:val="22"/>
                <w:szCs w:val="22"/>
              </w:rPr>
              <w:t xml:space="preserve">wyjaśnienia wymaga </w:t>
            </w:r>
            <w:r w:rsidR="00B76ED5" w:rsidRPr="00B76ED5">
              <w:rPr>
                <w:rFonts w:asciiTheme="minorHAnsi" w:hAnsiTheme="minorHAnsi" w:cstheme="minorHAnsi"/>
                <w:i/>
                <w:sz w:val="22"/>
                <w:szCs w:val="22"/>
              </w:rPr>
              <w:t>ratio legis</w:t>
            </w:r>
            <w:r w:rsidR="00B76ED5">
              <w:rPr>
                <w:rFonts w:asciiTheme="minorHAnsi" w:hAnsiTheme="minorHAnsi" w:cstheme="minorHAnsi"/>
                <w:sz w:val="22"/>
                <w:szCs w:val="22"/>
              </w:rPr>
              <w:t xml:space="preserve"> projektowanego rozwiązania</w:t>
            </w:r>
            <w:r w:rsidR="008F6A32">
              <w:rPr>
                <w:rFonts w:asciiTheme="minorHAnsi" w:hAnsiTheme="minorHAnsi" w:cstheme="minorHAnsi"/>
                <w:sz w:val="22"/>
                <w:szCs w:val="22"/>
              </w:rPr>
              <w:t xml:space="preserve">, które budzi wątpliwości pod kątem </w:t>
            </w:r>
            <w:r w:rsidR="00C00152">
              <w:rPr>
                <w:rFonts w:asciiTheme="minorHAnsi" w:hAnsiTheme="minorHAnsi" w:cstheme="minorHAnsi"/>
                <w:sz w:val="22"/>
                <w:szCs w:val="22"/>
              </w:rPr>
              <w:t>ewentualnego narażenia się na zarzut</w:t>
            </w:r>
            <w:r w:rsidR="008F6A32">
              <w:rPr>
                <w:rFonts w:asciiTheme="minorHAnsi" w:hAnsiTheme="minorHAnsi" w:cstheme="minorHAnsi"/>
                <w:sz w:val="22"/>
                <w:szCs w:val="22"/>
              </w:rPr>
              <w:t xml:space="preserve"> naruszenia zasady wolności komunikowania się, przez zmuszenie </w:t>
            </w:r>
            <w:r w:rsidR="00C00152">
              <w:rPr>
                <w:rFonts w:asciiTheme="minorHAnsi" w:hAnsiTheme="minorHAnsi" w:cstheme="minorHAnsi"/>
                <w:sz w:val="22"/>
                <w:szCs w:val="22"/>
              </w:rPr>
              <w:t xml:space="preserve">osoby fizycznej </w:t>
            </w:r>
            <w:r w:rsidR="008F6A32">
              <w:rPr>
                <w:rFonts w:asciiTheme="minorHAnsi" w:hAnsiTheme="minorHAnsi" w:cstheme="minorHAnsi"/>
                <w:sz w:val="22"/>
                <w:szCs w:val="22"/>
              </w:rPr>
              <w:t>do posiadania danego środka komunikacji</w:t>
            </w:r>
            <w:r w:rsidR="00DD2B73">
              <w:rPr>
                <w:rFonts w:asciiTheme="minorHAnsi" w:hAnsiTheme="minorHAnsi" w:cstheme="minorHAnsi"/>
                <w:sz w:val="22"/>
                <w:szCs w:val="22"/>
              </w:rPr>
              <w:t xml:space="preserve"> (</w:t>
            </w:r>
            <w:r w:rsidR="00C00152">
              <w:rPr>
                <w:rFonts w:asciiTheme="minorHAnsi" w:hAnsiTheme="minorHAnsi" w:cstheme="minorHAnsi"/>
                <w:sz w:val="22"/>
                <w:szCs w:val="22"/>
              </w:rPr>
              <w:t>przez pozbawienie</w:t>
            </w:r>
            <w:r w:rsidR="00DD2B73">
              <w:rPr>
                <w:rFonts w:asciiTheme="minorHAnsi" w:hAnsiTheme="minorHAnsi" w:cstheme="minorHAnsi"/>
                <w:sz w:val="22"/>
                <w:szCs w:val="22"/>
              </w:rPr>
              <w:t xml:space="preserve"> możliwości rezygnacji z </w:t>
            </w:r>
            <w:r w:rsidR="00C00152">
              <w:rPr>
                <w:rFonts w:asciiTheme="minorHAnsi" w:hAnsiTheme="minorHAnsi" w:cstheme="minorHAnsi"/>
                <w:sz w:val="22"/>
                <w:szCs w:val="22"/>
              </w:rPr>
              <w:t>jego</w:t>
            </w:r>
            <w:r w:rsidR="00DD2B73">
              <w:rPr>
                <w:rFonts w:asciiTheme="minorHAnsi" w:hAnsiTheme="minorHAnsi" w:cstheme="minorHAnsi"/>
                <w:sz w:val="22"/>
                <w:szCs w:val="22"/>
              </w:rPr>
              <w:t xml:space="preserve"> posiadania)</w:t>
            </w:r>
            <w:r w:rsidR="008F6A32">
              <w:rPr>
                <w:rFonts w:asciiTheme="minorHAnsi" w:hAnsiTheme="minorHAnsi" w:cstheme="minorHAnsi"/>
                <w:sz w:val="22"/>
                <w:szCs w:val="22"/>
              </w:rPr>
              <w:t xml:space="preserve">, do </w:t>
            </w:r>
            <w:r w:rsidR="00DD2B73">
              <w:rPr>
                <w:rFonts w:asciiTheme="minorHAnsi" w:hAnsiTheme="minorHAnsi" w:cstheme="minorHAnsi"/>
                <w:sz w:val="22"/>
                <w:szCs w:val="22"/>
              </w:rPr>
              <w:t>czego</w:t>
            </w:r>
            <w:r w:rsidR="008F6A32">
              <w:rPr>
                <w:rFonts w:asciiTheme="minorHAnsi" w:hAnsiTheme="minorHAnsi" w:cstheme="minorHAnsi"/>
                <w:sz w:val="22"/>
                <w:szCs w:val="22"/>
              </w:rPr>
              <w:t xml:space="preserve"> sprowadza się de facto projektowana regulacja</w:t>
            </w:r>
            <w:r w:rsidR="00C00152">
              <w:rPr>
                <w:rFonts w:asciiTheme="minorHAnsi" w:hAnsiTheme="minorHAnsi" w:cstheme="minorHAnsi"/>
                <w:sz w:val="22"/>
                <w:szCs w:val="22"/>
              </w:rPr>
              <w:t>;</w:t>
            </w:r>
          </w:p>
          <w:p w:rsidR="004A2165" w:rsidRDefault="00C00152" w:rsidP="006331AB">
            <w:pPr>
              <w:jc w:val="both"/>
              <w:rPr>
                <w:rFonts w:asciiTheme="minorHAnsi" w:hAnsiTheme="minorHAnsi" w:cstheme="minorHAnsi"/>
                <w:sz w:val="22"/>
                <w:szCs w:val="22"/>
              </w:rPr>
            </w:pPr>
            <w:r>
              <w:rPr>
                <w:rFonts w:asciiTheme="minorHAnsi" w:hAnsiTheme="minorHAnsi" w:cstheme="minorHAnsi"/>
                <w:sz w:val="22"/>
                <w:szCs w:val="22"/>
              </w:rPr>
              <w:t xml:space="preserve">3) </w:t>
            </w:r>
            <w:r w:rsidR="00CB67DA">
              <w:rPr>
                <w:rFonts w:asciiTheme="minorHAnsi" w:hAnsiTheme="minorHAnsi" w:cstheme="minorHAnsi"/>
                <w:sz w:val="22"/>
                <w:szCs w:val="22"/>
              </w:rPr>
              <w:t xml:space="preserve">art. </w:t>
            </w:r>
            <w:r w:rsidR="004A2165">
              <w:rPr>
                <w:rFonts w:asciiTheme="minorHAnsi" w:hAnsiTheme="minorHAnsi" w:cstheme="minorHAnsi"/>
                <w:sz w:val="22"/>
                <w:szCs w:val="22"/>
              </w:rPr>
              <w:t>41 ust. 2 – wyjaśnienia wymaga projektowana koncepcja projektodawcy w zakresie „</w:t>
            </w:r>
            <w:r w:rsidR="004A2165" w:rsidRPr="004A2165">
              <w:rPr>
                <w:rFonts w:asciiTheme="minorHAnsi" w:hAnsiTheme="minorHAnsi" w:cstheme="minorHAnsi"/>
                <w:sz w:val="22"/>
                <w:szCs w:val="22"/>
                <w:u w:val="single"/>
              </w:rPr>
              <w:t>wyrażania woli odebrania dokumentu</w:t>
            </w:r>
            <w:r w:rsidR="004A2165">
              <w:rPr>
                <w:rFonts w:asciiTheme="minorHAnsi" w:hAnsiTheme="minorHAnsi" w:cstheme="minorHAnsi"/>
                <w:sz w:val="22"/>
                <w:szCs w:val="22"/>
              </w:rPr>
              <w:t>” w sposób określony przez operatora wyznaczonego albo kwalifikowanego dostawcy usług zaufania. W jaki sposób adresat będzie wyrażał tę wolę i w jaki sposób i w jakim trybie operator i dostawca będą określali sposób wyrażenia tej woli przez adresata? Wskazać należy, że od odebrania korespondencji zależy wystawienie dowodu jej otrzymania, moment odebrania korespondencji powinien więc być możliwy do ustalenia bez jakichkolwiek wątpliwości;</w:t>
            </w:r>
          </w:p>
          <w:p w:rsidR="00506A04" w:rsidRPr="00A06425" w:rsidRDefault="00786652" w:rsidP="00CF108B">
            <w:pPr>
              <w:jc w:val="both"/>
              <w:rPr>
                <w:rFonts w:asciiTheme="minorHAnsi" w:hAnsiTheme="minorHAnsi" w:cstheme="minorHAnsi"/>
                <w:sz w:val="22"/>
                <w:szCs w:val="22"/>
              </w:rPr>
            </w:pPr>
            <w:r>
              <w:rPr>
                <w:rFonts w:asciiTheme="minorHAnsi" w:hAnsiTheme="minorHAnsi" w:cstheme="minorHAnsi"/>
                <w:sz w:val="22"/>
                <w:szCs w:val="22"/>
              </w:rPr>
              <w:t xml:space="preserve">4) </w:t>
            </w:r>
            <w:r w:rsidR="00506A04">
              <w:rPr>
                <w:rFonts w:asciiTheme="minorHAnsi" w:hAnsiTheme="minorHAnsi" w:cstheme="minorHAnsi"/>
                <w:sz w:val="22"/>
                <w:szCs w:val="22"/>
              </w:rPr>
              <w:t xml:space="preserve">art. 152 ust. 4 – </w:t>
            </w:r>
            <w:r w:rsidR="00A96D0A">
              <w:rPr>
                <w:rFonts w:asciiTheme="minorHAnsi" w:hAnsiTheme="minorHAnsi" w:cstheme="minorHAnsi"/>
                <w:sz w:val="22"/>
                <w:szCs w:val="22"/>
              </w:rPr>
              <w:t>Rządowe Centrum Legislacji</w:t>
            </w:r>
            <w:r w:rsidR="00506A04">
              <w:rPr>
                <w:rFonts w:asciiTheme="minorHAnsi" w:hAnsiTheme="minorHAnsi" w:cstheme="minorHAnsi"/>
                <w:sz w:val="22"/>
                <w:szCs w:val="22"/>
              </w:rPr>
              <w:t xml:space="preserve"> zwraca uwagę na nieprawidłową nowelizację tego przepisu. Przepis obecnego ust. 4 został bowiem skonsumowany w roku 2022 i nie może zostać zmieniony</w:t>
            </w:r>
            <w:r w:rsidR="00AD024B">
              <w:rPr>
                <w:rFonts w:asciiTheme="minorHAnsi" w:hAnsiTheme="minorHAnsi" w:cstheme="minorHAnsi"/>
                <w:sz w:val="22"/>
                <w:szCs w:val="22"/>
              </w:rPr>
              <w:t>.</w:t>
            </w:r>
          </w:p>
        </w:tc>
        <w:tc>
          <w:tcPr>
            <w:tcW w:w="2552" w:type="dxa"/>
            <w:shd w:val="clear" w:color="auto" w:fill="auto"/>
          </w:tcPr>
          <w:p w:rsidR="001E10EF" w:rsidRPr="00A06425" w:rsidRDefault="001E10EF" w:rsidP="004D086F">
            <w:pPr>
              <w:jc w:val="center"/>
              <w:rPr>
                <w:rFonts w:asciiTheme="minorHAnsi" w:hAnsiTheme="minorHAnsi" w:cstheme="minorHAnsi"/>
                <w:sz w:val="22"/>
                <w:szCs w:val="22"/>
              </w:rPr>
            </w:pPr>
          </w:p>
        </w:tc>
        <w:tc>
          <w:tcPr>
            <w:tcW w:w="1359" w:type="dxa"/>
          </w:tcPr>
          <w:p w:rsidR="001E10EF" w:rsidRPr="00A06425" w:rsidRDefault="001E10EF" w:rsidP="004D086F">
            <w:pPr>
              <w:jc w:val="center"/>
              <w:rPr>
                <w:rFonts w:asciiTheme="minorHAnsi" w:hAnsiTheme="minorHAnsi" w:cstheme="minorHAnsi"/>
                <w:sz w:val="22"/>
                <w:szCs w:val="22"/>
              </w:rPr>
            </w:pPr>
          </w:p>
        </w:tc>
      </w:tr>
      <w:tr w:rsidR="001E10EF" w:rsidRPr="00A06425" w:rsidTr="006976D6">
        <w:tc>
          <w:tcPr>
            <w:tcW w:w="562" w:type="dxa"/>
            <w:shd w:val="clear" w:color="auto" w:fill="auto"/>
          </w:tcPr>
          <w:p w:rsidR="001E10EF" w:rsidRPr="00A06425" w:rsidRDefault="001E10EF" w:rsidP="00A06425">
            <w:pPr>
              <w:spacing w:before="120" w:after="120"/>
              <w:jc w:val="center"/>
              <w:rPr>
                <w:rFonts w:asciiTheme="minorHAnsi" w:hAnsiTheme="minorHAnsi" w:cstheme="minorHAnsi"/>
                <w:b/>
                <w:sz w:val="22"/>
                <w:szCs w:val="22"/>
              </w:rPr>
            </w:pPr>
          </w:p>
        </w:tc>
        <w:tc>
          <w:tcPr>
            <w:tcW w:w="1134" w:type="dxa"/>
            <w:shd w:val="clear" w:color="auto" w:fill="auto"/>
          </w:tcPr>
          <w:p w:rsidR="001E10EF" w:rsidRPr="00A06425" w:rsidRDefault="001E10EF" w:rsidP="004D086F">
            <w:pPr>
              <w:spacing w:before="60" w:after="60"/>
              <w:jc w:val="center"/>
              <w:rPr>
                <w:rFonts w:asciiTheme="minorHAnsi" w:hAnsiTheme="minorHAnsi" w:cstheme="minorHAnsi"/>
                <w:b/>
                <w:sz w:val="22"/>
                <w:szCs w:val="22"/>
              </w:rPr>
            </w:pPr>
          </w:p>
        </w:tc>
        <w:tc>
          <w:tcPr>
            <w:tcW w:w="1843" w:type="dxa"/>
            <w:shd w:val="clear" w:color="auto" w:fill="auto"/>
          </w:tcPr>
          <w:p w:rsidR="001E10EF" w:rsidRPr="00A06425" w:rsidRDefault="00AD024B" w:rsidP="004D086F">
            <w:pPr>
              <w:jc w:val="center"/>
              <w:rPr>
                <w:rFonts w:asciiTheme="minorHAnsi" w:hAnsiTheme="minorHAnsi" w:cstheme="minorHAnsi"/>
                <w:sz w:val="22"/>
                <w:szCs w:val="22"/>
              </w:rPr>
            </w:pPr>
            <w:r>
              <w:rPr>
                <w:rFonts w:asciiTheme="minorHAnsi" w:hAnsiTheme="minorHAnsi" w:cstheme="minorHAnsi"/>
                <w:sz w:val="22"/>
                <w:szCs w:val="22"/>
              </w:rPr>
              <w:t>Art. 35</w:t>
            </w:r>
          </w:p>
        </w:tc>
        <w:tc>
          <w:tcPr>
            <w:tcW w:w="7938" w:type="dxa"/>
            <w:shd w:val="clear" w:color="auto" w:fill="auto"/>
          </w:tcPr>
          <w:p w:rsidR="001E10EF" w:rsidRPr="00A06425" w:rsidRDefault="00AD024B" w:rsidP="00F50951">
            <w:pPr>
              <w:jc w:val="both"/>
              <w:rPr>
                <w:rFonts w:asciiTheme="minorHAnsi" w:hAnsiTheme="minorHAnsi" w:cstheme="minorHAnsi"/>
                <w:sz w:val="22"/>
                <w:szCs w:val="22"/>
              </w:rPr>
            </w:pPr>
            <w:bookmarkStart w:id="0" w:name="_GoBack"/>
            <w:bookmarkEnd w:id="0"/>
            <w:r>
              <w:rPr>
                <w:rFonts w:asciiTheme="minorHAnsi" w:hAnsiTheme="minorHAnsi" w:cstheme="minorHAnsi"/>
                <w:sz w:val="22"/>
                <w:szCs w:val="22"/>
              </w:rPr>
              <w:t xml:space="preserve">ze względu na charakter przejściowy przepisu oraz możliwość jego skonsumowania, wątpliwości budzi celowość nowelizacji zawartej w art. 35 projektu. Nowelizowany </w:t>
            </w:r>
            <w:r w:rsidRPr="00AD024B">
              <w:rPr>
                <w:rFonts w:asciiTheme="minorHAnsi" w:hAnsiTheme="minorHAnsi" w:cstheme="minorHAnsi"/>
                <w:sz w:val="22"/>
                <w:szCs w:val="22"/>
              </w:rPr>
              <w:t xml:space="preserve">przepis wszedł w życie 30 października 2021 r. i </w:t>
            </w:r>
            <w:r>
              <w:rPr>
                <w:rFonts w:asciiTheme="minorHAnsi" w:hAnsiTheme="minorHAnsi" w:cstheme="minorHAnsi"/>
                <w:sz w:val="22"/>
                <w:szCs w:val="22"/>
              </w:rPr>
              <w:t>istnieje duże</w:t>
            </w:r>
            <w:r w:rsidRPr="00AD024B">
              <w:rPr>
                <w:rFonts w:asciiTheme="minorHAnsi" w:hAnsiTheme="minorHAnsi" w:cstheme="minorHAnsi"/>
                <w:sz w:val="22"/>
                <w:szCs w:val="22"/>
              </w:rPr>
              <w:t xml:space="preserve"> </w:t>
            </w:r>
            <w:r>
              <w:rPr>
                <w:rFonts w:asciiTheme="minorHAnsi" w:hAnsiTheme="minorHAnsi" w:cstheme="minorHAnsi"/>
                <w:sz w:val="22"/>
                <w:szCs w:val="22"/>
              </w:rPr>
              <w:t>prawdopodobieństwo</w:t>
            </w:r>
            <w:r w:rsidRPr="00AD024B">
              <w:rPr>
                <w:rFonts w:asciiTheme="minorHAnsi" w:hAnsiTheme="minorHAnsi" w:cstheme="minorHAnsi"/>
                <w:sz w:val="22"/>
                <w:szCs w:val="22"/>
              </w:rPr>
              <w:t xml:space="preserve">, że zamówienia </w:t>
            </w:r>
            <w:r>
              <w:rPr>
                <w:rFonts w:asciiTheme="minorHAnsi" w:hAnsiTheme="minorHAnsi" w:cstheme="minorHAnsi"/>
                <w:sz w:val="22"/>
                <w:szCs w:val="22"/>
              </w:rPr>
              <w:t xml:space="preserve">w nim określone </w:t>
            </w:r>
            <w:r w:rsidRPr="00AD024B">
              <w:rPr>
                <w:rFonts w:asciiTheme="minorHAnsi" w:hAnsiTheme="minorHAnsi" w:cstheme="minorHAnsi"/>
                <w:sz w:val="22"/>
                <w:szCs w:val="22"/>
              </w:rPr>
              <w:t>zostały już zrealizowane.</w:t>
            </w:r>
          </w:p>
        </w:tc>
        <w:tc>
          <w:tcPr>
            <w:tcW w:w="2552" w:type="dxa"/>
            <w:shd w:val="clear" w:color="auto" w:fill="auto"/>
          </w:tcPr>
          <w:p w:rsidR="001E10EF" w:rsidRPr="00A06425" w:rsidRDefault="001E10EF" w:rsidP="004D086F">
            <w:pPr>
              <w:jc w:val="center"/>
              <w:rPr>
                <w:rFonts w:asciiTheme="minorHAnsi" w:hAnsiTheme="minorHAnsi" w:cstheme="minorHAnsi"/>
                <w:sz w:val="22"/>
                <w:szCs w:val="22"/>
              </w:rPr>
            </w:pPr>
          </w:p>
        </w:tc>
        <w:tc>
          <w:tcPr>
            <w:tcW w:w="1359" w:type="dxa"/>
          </w:tcPr>
          <w:p w:rsidR="001E10EF" w:rsidRPr="00A06425" w:rsidRDefault="001E10EF" w:rsidP="004D086F">
            <w:pPr>
              <w:jc w:val="center"/>
              <w:rPr>
                <w:rFonts w:asciiTheme="minorHAnsi" w:hAnsiTheme="minorHAnsi" w:cstheme="minorHAnsi"/>
                <w:sz w:val="22"/>
                <w:szCs w:val="22"/>
              </w:rPr>
            </w:pPr>
          </w:p>
        </w:tc>
      </w:tr>
    </w:tbl>
    <w:p w:rsidR="00C64B1B" w:rsidRDefault="00C64B1B" w:rsidP="00C64B1B">
      <w:pPr>
        <w:jc w:val="center"/>
      </w:pPr>
    </w:p>
    <w:sectPr w:rsidR="00C64B1B" w:rsidSect="00A06425">
      <w:pgSz w:w="16838" w:h="11906" w:orient="landscape"/>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4B1B"/>
    <w:rsid w:val="000074BF"/>
    <w:rsid w:val="000157FE"/>
    <w:rsid w:val="00030915"/>
    <w:rsid w:val="00034258"/>
    <w:rsid w:val="000440DC"/>
    <w:rsid w:val="000657D5"/>
    <w:rsid w:val="00065AE5"/>
    <w:rsid w:val="0007752D"/>
    <w:rsid w:val="000905B1"/>
    <w:rsid w:val="000A00C1"/>
    <w:rsid w:val="000A3D25"/>
    <w:rsid w:val="000A46E0"/>
    <w:rsid w:val="000B3814"/>
    <w:rsid w:val="000C1DC5"/>
    <w:rsid w:val="000E6ACD"/>
    <w:rsid w:val="000F2B8A"/>
    <w:rsid w:val="000F5275"/>
    <w:rsid w:val="0012285B"/>
    <w:rsid w:val="00126D97"/>
    <w:rsid w:val="00140BE8"/>
    <w:rsid w:val="0014402B"/>
    <w:rsid w:val="00167517"/>
    <w:rsid w:val="00172BED"/>
    <w:rsid w:val="0019648E"/>
    <w:rsid w:val="001D7305"/>
    <w:rsid w:val="001E10EF"/>
    <w:rsid w:val="001F45F0"/>
    <w:rsid w:val="001F7E76"/>
    <w:rsid w:val="002020EB"/>
    <w:rsid w:val="00245F6C"/>
    <w:rsid w:val="00246C67"/>
    <w:rsid w:val="002664F0"/>
    <w:rsid w:val="002715B2"/>
    <w:rsid w:val="00275490"/>
    <w:rsid w:val="00296ED4"/>
    <w:rsid w:val="002A70FB"/>
    <w:rsid w:val="002B6F33"/>
    <w:rsid w:val="002C2BDE"/>
    <w:rsid w:val="002D55A4"/>
    <w:rsid w:val="002F06B2"/>
    <w:rsid w:val="003124D1"/>
    <w:rsid w:val="0031584E"/>
    <w:rsid w:val="003254F1"/>
    <w:rsid w:val="00327979"/>
    <w:rsid w:val="003303F4"/>
    <w:rsid w:val="00353376"/>
    <w:rsid w:val="00357AEB"/>
    <w:rsid w:val="003641A0"/>
    <w:rsid w:val="003728CB"/>
    <w:rsid w:val="00381647"/>
    <w:rsid w:val="0039708D"/>
    <w:rsid w:val="003A11BE"/>
    <w:rsid w:val="003B4105"/>
    <w:rsid w:val="003C211D"/>
    <w:rsid w:val="003C643A"/>
    <w:rsid w:val="003E26C2"/>
    <w:rsid w:val="003F0C89"/>
    <w:rsid w:val="003F7765"/>
    <w:rsid w:val="00403B34"/>
    <w:rsid w:val="00412F5B"/>
    <w:rsid w:val="00423ABC"/>
    <w:rsid w:val="0043670F"/>
    <w:rsid w:val="00453A1C"/>
    <w:rsid w:val="00465866"/>
    <w:rsid w:val="00475DE3"/>
    <w:rsid w:val="00477726"/>
    <w:rsid w:val="004A2165"/>
    <w:rsid w:val="004B62AC"/>
    <w:rsid w:val="004C506A"/>
    <w:rsid w:val="004D086F"/>
    <w:rsid w:val="004D0D20"/>
    <w:rsid w:val="00506A04"/>
    <w:rsid w:val="00510DB7"/>
    <w:rsid w:val="00513067"/>
    <w:rsid w:val="00526BED"/>
    <w:rsid w:val="00527977"/>
    <w:rsid w:val="00576871"/>
    <w:rsid w:val="00585FF1"/>
    <w:rsid w:val="005875F4"/>
    <w:rsid w:val="005E0B1F"/>
    <w:rsid w:val="005E200A"/>
    <w:rsid w:val="005F3141"/>
    <w:rsid w:val="005F6527"/>
    <w:rsid w:val="00601488"/>
    <w:rsid w:val="00612AE7"/>
    <w:rsid w:val="00616F05"/>
    <w:rsid w:val="006331AB"/>
    <w:rsid w:val="00656C34"/>
    <w:rsid w:val="00660317"/>
    <w:rsid w:val="006705EC"/>
    <w:rsid w:val="00672E9B"/>
    <w:rsid w:val="00674D57"/>
    <w:rsid w:val="006779D0"/>
    <w:rsid w:val="00681350"/>
    <w:rsid w:val="00685726"/>
    <w:rsid w:val="006976D6"/>
    <w:rsid w:val="0069773C"/>
    <w:rsid w:val="006A6B86"/>
    <w:rsid w:val="006B2CB0"/>
    <w:rsid w:val="006C392C"/>
    <w:rsid w:val="006C51FE"/>
    <w:rsid w:val="006D1ACB"/>
    <w:rsid w:val="006D3368"/>
    <w:rsid w:val="006E16E9"/>
    <w:rsid w:val="006F2334"/>
    <w:rsid w:val="00710A8A"/>
    <w:rsid w:val="0071322B"/>
    <w:rsid w:val="007145EA"/>
    <w:rsid w:val="00724D10"/>
    <w:rsid w:val="00746064"/>
    <w:rsid w:val="00786652"/>
    <w:rsid w:val="00786EB8"/>
    <w:rsid w:val="0078784B"/>
    <w:rsid w:val="007B6ED2"/>
    <w:rsid w:val="007B7855"/>
    <w:rsid w:val="007C07B4"/>
    <w:rsid w:val="007E029D"/>
    <w:rsid w:val="007E31D0"/>
    <w:rsid w:val="007F4941"/>
    <w:rsid w:val="007F4C67"/>
    <w:rsid w:val="007F653D"/>
    <w:rsid w:val="00801387"/>
    <w:rsid w:val="00803FE8"/>
    <w:rsid w:val="00807385"/>
    <w:rsid w:val="0080799F"/>
    <w:rsid w:val="00812814"/>
    <w:rsid w:val="008317E3"/>
    <w:rsid w:val="0086442D"/>
    <w:rsid w:val="00877DD5"/>
    <w:rsid w:val="008811D7"/>
    <w:rsid w:val="008C314A"/>
    <w:rsid w:val="008D65BF"/>
    <w:rsid w:val="008E3012"/>
    <w:rsid w:val="008F6A32"/>
    <w:rsid w:val="00900AE7"/>
    <w:rsid w:val="00901429"/>
    <w:rsid w:val="0090208E"/>
    <w:rsid w:val="00914295"/>
    <w:rsid w:val="00923AE1"/>
    <w:rsid w:val="00944932"/>
    <w:rsid w:val="00957167"/>
    <w:rsid w:val="00965CC7"/>
    <w:rsid w:val="009777C4"/>
    <w:rsid w:val="009918BF"/>
    <w:rsid w:val="00992CBD"/>
    <w:rsid w:val="009A2585"/>
    <w:rsid w:val="009A6358"/>
    <w:rsid w:val="009B2EAF"/>
    <w:rsid w:val="009C56AF"/>
    <w:rsid w:val="009E5FDB"/>
    <w:rsid w:val="009F11AB"/>
    <w:rsid w:val="009F4A0B"/>
    <w:rsid w:val="00A06425"/>
    <w:rsid w:val="00A12CF0"/>
    <w:rsid w:val="00A15DF8"/>
    <w:rsid w:val="00A168E0"/>
    <w:rsid w:val="00A862F5"/>
    <w:rsid w:val="00A94814"/>
    <w:rsid w:val="00A96D0A"/>
    <w:rsid w:val="00AA0B21"/>
    <w:rsid w:val="00AB3718"/>
    <w:rsid w:val="00AC7796"/>
    <w:rsid w:val="00AD024B"/>
    <w:rsid w:val="00AD20CD"/>
    <w:rsid w:val="00AE6FF1"/>
    <w:rsid w:val="00B11FCA"/>
    <w:rsid w:val="00B13875"/>
    <w:rsid w:val="00B278C0"/>
    <w:rsid w:val="00B32D04"/>
    <w:rsid w:val="00B477A3"/>
    <w:rsid w:val="00B51013"/>
    <w:rsid w:val="00B5396A"/>
    <w:rsid w:val="00B63B77"/>
    <w:rsid w:val="00B66E63"/>
    <w:rsid w:val="00B73529"/>
    <w:rsid w:val="00B755F0"/>
    <w:rsid w:val="00B76ED5"/>
    <w:rsid w:val="00B871B6"/>
    <w:rsid w:val="00B92138"/>
    <w:rsid w:val="00BA3271"/>
    <w:rsid w:val="00BA3BBB"/>
    <w:rsid w:val="00BB3C30"/>
    <w:rsid w:val="00BB58ED"/>
    <w:rsid w:val="00BD653E"/>
    <w:rsid w:val="00BF32E4"/>
    <w:rsid w:val="00C00152"/>
    <w:rsid w:val="00C012A7"/>
    <w:rsid w:val="00C053D0"/>
    <w:rsid w:val="00C07890"/>
    <w:rsid w:val="00C3313E"/>
    <w:rsid w:val="00C55297"/>
    <w:rsid w:val="00C64B1B"/>
    <w:rsid w:val="00C75ADB"/>
    <w:rsid w:val="00C77554"/>
    <w:rsid w:val="00CA36FE"/>
    <w:rsid w:val="00CB0A6A"/>
    <w:rsid w:val="00CB5223"/>
    <w:rsid w:val="00CB67DA"/>
    <w:rsid w:val="00CD5EB0"/>
    <w:rsid w:val="00CE7819"/>
    <w:rsid w:val="00CF108B"/>
    <w:rsid w:val="00CF3C3E"/>
    <w:rsid w:val="00D439F6"/>
    <w:rsid w:val="00D46727"/>
    <w:rsid w:val="00D5500F"/>
    <w:rsid w:val="00D84358"/>
    <w:rsid w:val="00D94A31"/>
    <w:rsid w:val="00D953F0"/>
    <w:rsid w:val="00DA2CB0"/>
    <w:rsid w:val="00DD2B73"/>
    <w:rsid w:val="00DD6E97"/>
    <w:rsid w:val="00DF6608"/>
    <w:rsid w:val="00E14C33"/>
    <w:rsid w:val="00E17A98"/>
    <w:rsid w:val="00E22FF6"/>
    <w:rsid w:val="00E35E14"/>
    <w:rsid w:val="00E3628F"/>
    <w:rsid w:val="00E51F2F"/>
    <w:rsid w:val="00E73FF3"/>
    <w:rsid w:val="00E802DF"/>
    <w:rsid w:val="00E804FA"/>
    <w:rsid w:val="00E80FDE"/>
    <w:rsid w:val="00E95BDF"/>
    <w:rsid w:val="00EA3C6B"/>
    <w:rsid w:val="00EA694E"/>
    <w:rsid w:val="00EB595A"/>
    <w:rsid w:val="00ED7B7D"/>
    <w:rsid w:val="00EE2338"/>
    <w:rsid w:val="00F21BFE"/>
    <w:rsid w:val="00F44EA5"/>
    <w:rsid w:val="00F50951"/>
    <w:rsid w:val="00F56A06"/>
    <w:rsid w:val="00F67DCD"/>
    <w:rsid w:val="00F712AC"/>
    <w:rsid w:val="00F84D77"/>
    <w:rsid w:val="00FA6B70"/>
    <w:rsid w:val="00FB0575"/>
    <w:rsid w:val="00FD1749"/>
    <w:rsid w:val="00FD25E4"/>
    <w:rsid w:val="00FD534C"/>
    <w:rsid w:val="00FD7BCD"/>
    <w:rsid w:val="00FE4D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663DAE"/>
  <w15:chartTrackingRefBased/>
  <w15:docId w15:val="{2379E184-FF6E-46FA-BB13-F6EF6AC0F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C64B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rsid w:val="00A06425"/>
    <w:rPr>
      <w:rFonts w:ascii="Segoe UI" w:hAnsi="Segoe UI" w:cs="Segoe UI"/>
      <w:sz w:val="18"/>
      <w:szCs w:val="18"/>
    </w:rPr>
  </w:style>
  <w:style w:type="character" w:customStyle="1" w:styleId="TekstdymkaZnak">
    <w:name w:val="Tekst dymka Znak"/>
    <w:basedOn w:val="Domylnaczcionkaakapitu"/>
    <w:link w:val="Tekstdymka"/>
    <w:rsid w:val="00A064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849</TotalTime>
  <Pages>1</Pages>
  <Words>5336</Words>
  <Characters>32018</Characters>
  <Application>Microsoft Office Word</Application>
  <DocSecurity>0</DocSecurity>
  <Lines>266</Lines>
  <Paragraphs>74</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37280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dc:creator>
  <cp:keywords/>
  <cp:lastModifiedBy>Trojanowska Barbara</cp:lastModifiedBy>
  <cp:revision>176</cp:revision>
  <dcterms:created xsi:type="dcterms:W3CDTF">2023-03-28T07:30:00Z</dcterms:created>
  <dcterms:modified xsi:type="dcterms:W3CDTF">2023-03-30T10:16:00Z</dcterms:modified>
</cp:coreProperties>
</file>